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rFonts w:ascii="Times New Roman" w:hAnsi="Times New Roman"/>
          <w:b/>
          <w:sz w:val="24"/>
          <w:szCs w:val="24"/>
        </w:rPr>
      </w:pPr>
      <w:r>
        <w:rPr>
          <w:rFonts w:ascii="Times New Roman" w:hAnsi="Times New Roman"/>
          <w:b/>
          <w:sz w:val="24"/>
          <w:szCs w:val="24"/>
        </w:rPr>
      </w:r>
    </w:p>
    <w:tbl>
      <w:tblPr>
        <w:tblStyle w:val="Tabelacomgrade"/>
        <w:tblpPr w:vertAnchor="text" w:horzAnchor="margin" w:leftFromText="141" w:rightFromText="141" w:tblpX="-185" w:tblpY="134"/>
        <w:tblW w:w="878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784"/>
      </w:tblGrid>
      <w:tr>
        <w:trPr/>
        <w:tc>
          <w:tcPr>
            <w:tcW w:w="8784" w:type="dxa"/>
            <w:tcBorders/>
            <w:shd w:color="auto" w:fill="244061" w:themeFill="accent1" w:themeFillShade="80" w:val="clear"/>
          </w:tcPr>
          <w:p>
            <w:pPr>
              <w:pStyle w:val="Title"/>
              <w:widowControl/>
              <w:spacing w:before="0" w:after="300"/>
              <w:ind w:left="306"/>
              <w:contextualSpacing/>
              <w:rPr>
                <w:rFonts w:ascii="Times New Roman" w:hAnsi="Times New Roman" w:cs="Times New Roman"/>
                <w:color w:themeColor="background1" w:val="FFFFFF"/>
                <w:sz w:val="24"/>
                <w:szCs w:val="24"/>
              </w:rPr>
            </w:pPr>
            <w:r>
              <w:rPr>
                <w:rFonts w:cs="Times New Roman" w:ascii="Times New Roman" w:hAnsi="Times New Roman"/>
                <w:color w:themeColor="background1" w:val="FFFFFF"/>
                <w:sz w:val="24"/>
                <w:szCs w:val="24"/>
                <w:lang w:val="pt-BR" w:bidi="ar-SA"/>
              </w:rPr>
              <w:t>TERMO DE REFERÊNCIA</w:t>
            </w:r>
            <w:r>
              <w:rPr>
                <w:rFonts w:cs="Times New Roman" w:ascii="Times New Roman" w:hAnsi="Times New Roman"/>
                <w:color w:themeColor="background1" w:val="FFFFFF"/>
                <w:spacing w:val="16"/>
                <w:sz w:val="24"/>
                <w:szCs w:val="24"/>
                <w:lang w:val="pt-BR" w:bidi="ar-SA"/>
              </w:rPr>
              <w:t xml:space="preserve"> </w:t>
            </w:r>
            <w:r>
              <w:rPr>
                <w:rFonts w:cs="Times New Roman" w:ascii="Times New Roman" w:hAnsi="Times New Roman"/>
                <w:color w:themeColor="background1" w:val="FFFFFF"/>
                <w:sz w:val="24"/>
                <w:szCs w:val="24"/>
                <w:lang w:val="pt-BR" w:bidi="ar-SA"/>
              </w:rPr>
              <w:t>(TR)</w:t>
            </w:r>
          </w:p>
        </w:tc>
      </w:tr>
    </w:tbl>
    <w:p>
      <w:pPr>
        <w:pStyle w:val="Normal"/>
        <w:spacing w:lineRule="auto" w:line="240"/>
        <w:rPr>
          <w:rFonts w:ascii="Times New Roman" w:hAnsi="Times New Roman"/>
          <w:b/>
          <w:sz w:val="24"/>
          <w:szCs w:val="24"/>
        </w:rPr>
      </w:pPr>
      <w:r>
        <w:rPr>
          <w:rFonts w:ascii="Times New Roman" w:hAnsi="Times New Roman"/>
          <w:b/>
          <w:sz w:val="24"/>
          <w:szCs w:val="24"/>
        </w:rPr>
      </w:r>
    </w:p>
    <w:tbl>
      <w:tblPr>
        <w:tblStyle w:val="TableNormal"/>
        <w:tblW w:w="9498" w:type="dxa"/>
        <w:jc w:val="left"/>
        <w:tblInd w:w="-441" w:type="dxa"/>
        <w:tblLayout w:type="fixed"/>
        <w:tblCellMar>
          <w:top w:w="0" w:type="dxa"/>
          <w:left w:w="15" w:type="dxa"/>
          <w:bottom w:w="0" w:type="dxa"/>
          <w:right w:w="15" w:type="dxa"/>
        </w:tblCellMar>
        <w:tblLook w:firstRow="1" w:noVBand="0" w:lastRow="1" w:firstColumn="1" w:lastColumn="1" w:noHBand="0" w:val="01e0"/>
      </w:tblPr>
      <w:tblGrid>
        <w:gridCol w:w="7875"/>
        <w:gridCol w:w="1622"/>
      </w:tblGrid>
      <w:tr>
        <w:trPr>
          <w:trHeight w:val="381" w:hRule="atLeast"/>
        </w:trPr>
        <w:tc>
          <w:tcPr>
            <w:tcW w:w="9497" w:type="dxa"/>
            <w:gridSpan w:val="2"/>
            <w:tcBorders>
              <w:top w:val="single" w:sz="12" w:space="0" w:color="2B2B2B"/>
              <w:left w:val="single" w:sz="12" w:space="0" w:color="2B2B2B"/>
              <w:bottom w:val="single" w:sz="12" w:space="0" w:color="2B2B2B"/>
              <w:right w:val="single" w:sz="12" w:space="0" w:color="808080"/>
            </w:tcBorders>
          </w:tcPr>
          <w:p>
            <w:pPr>
              <w:pStyle w:val="TableParagraph"/>
              <w:spacing w:before="0" w:after="0"/>
              <w:ind w:left="49"/>
              <w:jc w:val="both"/>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spacing w:before="0" w:after="0"/>
              <w:ind w:left="49"/>
              <w:jc w:val="both"/>
              <w:rPr>
                <w:rFonts w:ascii="Times New Roman" w:hAnsi="Times New Roman" w:cs="Times New Roman"/>
                <w:sz w:val="24"/>
                <w:szCs w:val="24"/>
              </w:rPr>
            </w:pPr>
            <w:r>
              <w:rPr>
                <w:rFonts w:cs="Times New Roman" w:ascii="Times New Roman" w:hAnsi="Times New Roman"/>
                <w:kern w:val="0"/>
                <w:sz w:val="24"/>
                <w:szCs w:val="24"/>
                <w:lang w:eastAsia="en-US" w:bidi="ar-SA"/>
              </w:rPr>
              <w:t>Setor</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Requisitante</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(Secretaria/Unidade/Depto):</w:t>
            </w:r>
            <w:r>
              <w:rPr>
                <w:rFonts w:cs="Times New Roman" w:ascii="Times New Roman" w:hAnsi="Times New Roman"/>
                <w:spacing w:val="8"/>
                <w:kern w:val="0"/>
                <w:sz w:val="24"/>
                <w:szCs w:val="24"/>
                <w:lang w:eastAsia="en-US" w:bidi="ar-SA"/>
              </w:rPr>
              <w:t xml:space="preserve"> </w:t>
            </w:r>
          </w:p>
        </w:tc>
      </w:tr>
      <w:tr>
        <w:trPr>
          <w:trHeight w:val="554" w:hRule="atLeast"/>
        </w:trPr>
        <w:tc>
          <w:tcPr>
            <w:tcW w:w="7875" w:type="dxa"/>
            <w:tcBorders>
              <w:top w:val="single" w:sz="12" w:space="0" w:color="2B2B2B"/>
              <w:left w:val="single" w:sz="12" w:space="0" w:color="2B2B2B"/>
              <w:bottom w:val="single" w:sz="12" w:space="0" w:color="2B2B2B"/>
              <w:right w:val="single" w:sz="12" w:space="0" w:color="2B2B2B"/>
            </w:tcBorders>
          </w:tcPr>
          <w:p>
            <w:pPr>
              <w:pStyle w:val="TableParagraph"/>
              <w:spacing w:before="0" w:after="0"/>
              <w:ind w:left="49"/>
              <w:jc w:val="both"/>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spacing w:before="0" w:after="0"/>
              <w:ind w:left="94"/>
              <w:jc w:val="both"/>
              <w:rPr>
                <w:rFonts w:ascii="Times New Roman" w:hAnsi="Times New Roman" w:cs="Times New Roman"/>
                <w:sz w:val="24"/>
                <w:szCs w:val="24"/>
              </w:rPr>
            </w:pPr>
            <w:r>
              <w:rPr>
                <w:rFonts w:cs="Times New Roman" w:ascii="Times New Roman" w:hAnsi="Times New Roman"/>
                <w:kern w:val="0"/>
                <w:sz w:val="24"/>
                <w:szCs w:val="24"/>
                <w:lang w:eastAsia="en-US" w:bidi="ar-SA"/>
              </w:rPr>
              <w:t>Responsável</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pela</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Demanda:</w:t>
            </w:r>
            <w:r>
              <w:rPr>
                <w:rFonts w:cs="Times New Roman" w:ascii="Times New Roman" w:hAnsi="Times New Roman"/>
                <w:spacing w:val="5"/>
                <w:kern w:val="0"/>
                <w:sz w:val="24"/>
                <w:szCs w:val="24"/>
                <w:lang w:eastAsia="en-US" w:bidi="ar-SA"/>
              </w:rPr>
              <w:t xml:space="preserve"> </w:t>
            </w:r>
          </w:p>
        </w:tc>
        <w:tc>
          <w:tcPr>
            <w:tcW w:w="1622" w:type="dxa"/>
            <w:tcBorders>
              <w:top w:val="single" w:sz="12" w:space="0" w:color="2B2B2B"/>
              <w:left w:val="single" w:sz="12" w:space="0" w:color="2B2B2B"/>
              <w:bottom w:val="single" w:sz="12" w:space="0" w:color="2B2B2B"/>
              <w:right w:val="single" w:sz="12" w:space="0" w:color="808080"/>
            </w:tcBorders>
          </w:tcPr>
          <w:p>
            <w:pPr>
              <w:pStyle w:val="TableParagraph"/>
              <w:spacing w:before="0" w:after="0"/>
              <w:ind w:left="50"/>
              <w:jc w:val="both"/>
              <w:rPr>
                <w:rFonts w:ascii="Times New Roman" w:hAnsi="Times New Roman" w:cs="Times New Roman"/>
                <w:sz w:val="24"/>
                <w:szCs w:val="24"/>
              </w:rPr>
            </w:pPr>
            <w:r>
              <w:rPr>
                <w:rFonts w:cs="Times New Roman" w:ascii="Times New Roman" w:hAnsi="Times New Roman"/>
                <w:kern w:val="0"/>
                <w:sz w:val="24"/>
                <w:szCs w:val="24"/>
                <w:lang w:eastAsia="en-US" w:bidi="ar-SA"/>
              </w:rPr>
              <w:t>Matrícula/</w:t>
            </w:r>
          </w:p>
          <w:p>
            <w:pPr>
              <w:pStyle w:val="TableParagraph"/>
              <w:spacing w:before="0" w:after="0"/>
              <w:ind w:left="50"/>
              <w:jc w:val="both"/>
              <w:rPr>
                <w:rFonts w:ascii="Times New Roman" w:hAnsi="Times New Roman" w:cs="Times New Roman"/>
                <w:sz w:val="24"/>
                <w:szCs w:val="24"/>
              </w:rPr>
            </w:pPr>
            <w:r>
              <w:rPr>
                <w:rFonts w:cs="Times New Roman" w:ascii="Times New Roman" w:hAnsi="Times New Roman"/>
                <w:kern w:val="0"/>
                <w:sz w:val="24"/>
                <w:szCs w:val="24"/>
                <w:lang w:eastAsia="en-US" w:bidi="ar-SA"/>
              </w:rPr>
              <w:t>identificação:</w:t>
            </w:r>
          </w:p>
        </w:tc>
      </w:tr>
      <w:tr>
        <w:trPr>
          <w:trHeight w:val="291" w:hRule="atLeast"/>
        </w:trPr>
        <w:tc>
          <w:tcPr>
            <w:tcW w:w="7875" w:type="dxa"/>
            <w:tcBorders>
              <w:top w:val="single" w:sz="12" w:space="0" w:color="2B2B2B"/>
              <w:left w:val="single" w:sz="12" w:space="0" w:color="2B2B2B"/>
              <w:bottom w:val="single" w:sz="12" w:space="0" w:color="2B2B2B"/>
              <w:right w:val="single" w:sz="12" w:space="0" w:color="2B2B2B"/>
            </w:tcBorders>
          </w:tcPr>
          <w:p>
            <w:pPr>
              <w:pStyle w:val="TableParagraph"/>
              <w:spacing w:before="0" w:after="0"/>
              <w:ind w:left="49"/>
              <w:jc w:val="both"/>
              <w:rPr>
                <w:rFonts w:ascii="Times New Roman" w:hAnsi="Times New Roman" w:cs="Times New Roman"/>
                <w:sz w:val="24"/>
                <w:szCs w:val="24"/>
              </w:rPr>
            </w:pPr>
            <w:r>
              <w:rPr>
                <w:rFonts w:cs="Times New Roman" w:ascii="Times New Roman" w:hAnsi="Times New Roman"/>
                <w:kern w:val="0"/>
                <w:sz w:val="24"/>
                <w:szCs w:val="24"/>
                <w:lang w:eastAsia="en-US" w:bidi="ar-SA"/>
              </w:rPr>
              <w:t>E-mail:</w:t>
            </w:r>
            <w:r>
              <w:rPr>
                <w:rFonts w:cs="Times New Roman" w:ascii="Times New Roman" w:hAnsi="Times New Roman"/>
                <w:spacing w:val="8"/>
                <w:kern w:val="0"/>
                <w:sz w:val="24"/>
                <w:szCs w:val="24"/>
                <w:lang w:eastAsia="en-US" w:bidi="ar-SA"/>
              </w:rPr>
              <w:t xml:space="preserve"> </w:t>
            </w:r>
          </w:p>
        </w:tc>
        <w:tc>
          <w:tcPr>
            <w:tcW w:w="1622" w:type="dxa"/>
            <w:tcBorders>
              <w:top w:val="single" w:sz="12" w:space="0" w:color="2B2B2B"/>
              <w:left w:val="single" w:sz="12" w:space="0" w:color="2B2B2B"/>
              <w:bottom w:val="single" w:sz="12" w:space="0" w:color="2B2B2B"/>
              <w:right w:val="single" w:sz="12" w:space="0" w:color="808080"/>
            </w:tcBorders>
          </w:tcPr>
          <w:p>
            <w:pPr>
              <w:pStyle w:val="TableParagraph"/>
              <w:spacing w:before="0" w:after="0"/>
              <w:ind w:left="50"/>
              <w:jc w:val="both"/>
              <w:rPr>
                <w:rFonts w:ascii="Times New Roman" w:hAnsi="Times New Roman" w:cs="Times New Roman"/>
                <w:sz w:val="24"/>
                <w:szCs w:val="24"/>
              </w:rPr>
            </w:pPr>
            <w:r>
              <w:rPr>
                <w:rFonts w:cs="Times New Roman" w:ascii="Times New Roman" w:hAnsi="Times New Roman"/>
                <w:kern w:val="0"/>
                <w:sz w:val="24"/>
                <w:szCs w:val="24"/>
                <w:lang w:eastAsia="en-US" w:bidi="ar-SA"/>
              </w:rPr>
              <w:t>Telefone/</w:t>
            </w:r>
          </w:p>
          <w:p>
            <w:pPr>
              <w:pStyle w:val="TableParagraph"/>
              <w:spacing w:before="0" w:after="0"/>
              <w:ind w:left="50"/>
              <w:jc w:val="both"/>
              <w:rPr>
                <w:rFonts w:ascii="Times New Roman" w:hAnsi="Times New Roman" w:cs="Times New Roman"/>
                <w:sz w:val="24"/>
                <w:szCs w:val="24"/>
              </w:rPr>
            </w:pPr>
            <w:r>
              <w:rPr>
                <w:rFonts w:cs="Times New Roman" w:ascii="Times New Roman" w:hAnsi="Times New Roman"/>
                <w:kern w:val="0"/>
                <w:sz w:val="24"/>
                <w:szCs w:val="24"/>
                <w:lang w:eastAsia="en-US" w:bidi="ar-SA"/>
              </w:rPr>
              <w:t>ramal:</w:t>
            </w:r>
          </w:p>
          <w:p>
            <w:pPr>
              <w:pStyle w:val="TableParagraph"/>
              <w:spacing w:before="0" w:after="0"/>
              <w:ind w:left="50"/>
              <w:jc w:val="both"/>
              <w:rPr>
                <w:rFonts w:ascii="Times New Roman" w:hAnsi="Times New Roman" w:cs="Times New Roman"/>
                <w:sz w:val="24"/>
                <w:szCs w:val="24"/>
              </w:rPr>
            </w:pPr>
            <w:r>
              <w:rPr>
                <w:rFonts w:cs="Times New Roman" w:ascii="Times New Roman" w:hAnsi="Times New Roman"/>
                <w:kern w:val="0"/>
                <w:sz w:val="24"/>
                <w:szCs w:val="24"/>
                <w:lang w:eastAsia="en-US" w:bidi="ar-SA"/>
              </w:rPr>
            </w:r>
          </w:p>
        </w:tc>
      </w:tr>
    </w:tbl>
    <w:tbl>
      <w:tblPr>
        <w:tblStyle w:val="Tabelacomgrade"/>
        <w:tblpPr w:vertAnchor="text" w:horzAnchor="margin" w:tblpXSpec="center" w:leftFromText="141" w:rightFromText="141" w:tblpY="171"/>
        <w:tblW w:w="865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651"/>
      </w:tblGrid>
      <w:tr>
        <w:trPr/>
        <w:tc>
          <w:tcPr>
            <w:tcW w:w="8651" w:type="dxa"/>
            <w:tcBorders/>
            <w:shd w:color="auto" w:fill="244061" w:themeFill="accent1" w:themeFillShade="80" w:val="clear"/>
          </w:tcPr>
          <w:p>
            <w:pPr>
              <w:pStyle w:val="BodyText"/>
              <w:widowControl/>
              <w:spacing w:before="2" w:after="0"/>
              <w:jc w:val="both"/>
              <w:rPr>
                <w:b/>
                <w:bCs/>
              </w:rPr>
            </w:pPr>
            <w:r>
              <w:rPr>
                <w:b/>
                <w:bCs/>
                <w:color w:themeColor="background1" w:val="FFFFFF"/>
                <w:kern w:val="0"/>
                <w:lang w:val="pt-BR" w:bidi="ar-SA"/>
              </w:rPr>
              <w:t xml:space="preserve">1 – </w:t>
            </w:r>
            <w:r>
              <w:rPr>
                <w:rFonts w:eastAsia="" w:eastAsiaTheme="minorEastAsia"/>
                <w:kern w:val="0"/>
                <w:lang w:val="pt-BR" w:bidi="ar-SA"/>
              </w:rPr>
              <w:t xml:space="preserve"> </w:t>
            </w:r>
            <w:r>
              <w:rPr>
                <w:b/>
                <w:bCs/>
                <w:color w:themeColor="background1" w:val="FFFFFF"/>
                <w:kern w:val="0"/>
                <w:lang w:val="pt-BR" w:bidi="ar-SA"/>
              </w:rPr>
              <w:t xml:space="preserve">CONDIÇÕES GERAIS DA CONTRATAÇÃO </w:t>
            </w:r>
          </w:p>
        </w:tc>
      </w:tr>
    </w:tbl>
    <w:p>
      <w:pPr>
        <w:pStyle w:val="BodyText"/>
        <w:spacing w:before="2" w:after="280"/>
        <w:jc w:val="both"/>
        <w:rPr/>
      </w:pPr>
      <w:r>
        <w:rPr/>
      </w:r>
    </w:p>
    <w:p>
      <w:pPr>
        <w:pStyle w:val="BodyText"/>
        <w:widowControl w:val="false"/>
        <w:numPr>
          <w:ilvl w:val="1"/>
          <w:numId w:val="3"/>
        </w:numPr>
        <w:spacing w:beforeAutospacing="0" w:before="2" w:afterAutospacing="0" w:after="0"/>
        <w:ind w:hanging="0" w:left="0"/>
        <w:jc w:val="both"/>
        <w:rPr/>
      </w:pPr>
      <w:r>
        <w:rPr/>
        <w:t>Aquisição de..........................................................., nos termos da tabela abaixo, conforme condições e exigências estabelecidas neste instrumento.</w:t>
      </w:r>
    </w:p>
    <w:p>
      <w:pPr>
        <w:pStyle w:val="BodyText"/>
        <w:spacing w:before="2" w:after="280"/>
        <w:jc w:val="both"/>
        <w:rPr/>
      </w:pPr>
      <w:r>
        <w:rPr/>
      </w:r>
    </w:p>
    <w:tbl>
      <w:tblPr>
        <w:tblW w:w="10348"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993"/>
        <w:gridCol w:w="2410"/>
        <w:gridCol w:w="1275"/>
        <w:gridCol w:w="1418"/>
        <w:gridCol w:w="1275"/>
        <w:gridCol w:w="1560"/>
        <w:gridCol w:w="1416"/>
      </w:tblGrid>
      <w:tr>
        <w:trPr/>
        <w:tc>
          <w:tcPr>
            <w:tcW w:w="993" w:type="dxa"/>
            <w:tcBorders>
              <w:top w:val="single" w:sz="4" w:space="0" w:color="000000"/>
              <w:left w:val="single" w:sz="4" w:space="0" w:color="000000"/>
              <w:bottom w:val="single" w:sz="4" w:space="0" w:color="000000"/>
              <w:right w:val="single" w:sz="4" w:space="0" w:color="000000"/>
            </w:tcBorders>
          </w:tcPr>
          <w:p>
            <w:pPr>
              <w:pStyle w:val="BodyText"/>
              <w:spacing w:before="2" w:after="280"/>
              <w:jc w:val="center"/>
              <w:rPr>
                <w:b/>
                <w:bCs/>
              </w:rPr>
            </w:pPr>
            <w:r>
              <w:rPr>
                <w:b/>
                <w:bCs/>
              </w:rPr>
              <w:t>ITEM</w:t>
            </w:r>
          </w:p>
          <w:p>
            <w:pPr>
              <w:pStyle w:val="BodyText"/>
              <w:spacing w:before="2" w:after="0"/>
              <w:jc w:val="center"/>
              <w:rPr>
                <w:b/>
                <w:bCs/>
              </w:rPr>
            </w:pPr>
            <w:r>
              <w:rPr>
                <w:b/>
                <w:bCs/>
              </w:rPr>
            </w:r>
          </w:p>
        </w:tc>
        <w:tc>
          <w:tcPr>
            <w:tcW w:w="2410" w:type="dxa"/>
            <w:tcBorders>
              <w:top w:val="single" w:sz="4" w:space="0" w:color="000000"/>
              <w:left w:val="single" w:sz="4" w:space="0" w:color="000000"/>
              <w:bottom w:val="single" w:sz="4" w:space="0" w:color="000000"/>
              <w:right w:val="single" w:sz="4" w:space="0" w:color="000000"/>
            </w:tcBorders>
          </w:tcPr>
          <w:p>
            <w:pPr>
              <w:pStyle w:val="BodyText"/>
              <w:spacing w:before="2" w:after="0"/>
              <w:jc w:val="center"/>
              <w:rPr/>
            </w:pPr>
            <w:r>
              <w:rPr>
                <w:b/>
                <w:bCs/>
              </w:rPr>
              <w:t>ESPECIFICAÇÃO</w:t>
            </w:r>
          </w:p>
        </w:tc>
        <w:tc>
          <w:tcPr>
            <w:tcW w:w="1275" w:type="dxa"/>
            <w:tcBorders>
              <w:top w:val="single" w:sz="4" w:space="0" w:color="000000"/>
              <w:left w:val="single" w:sz="4" w:space="0" w:color="000000"/>
              <w:bottom w:val="single" w:sz="4" w:space="0" w:color="000000"/>
              <w:right w:val="single" w:sz="4" w:space="0" w:color="000000"/>
            </w:tcBorders>
          </w:tcPr>
          <w:p>
            <w:pPr>
              <w:pStyle w:val="BodyText"/>
              <w:spacing w:before="2" w:after="0"/>
              <w:jc w:val="center"/>
              <w:rPr/>
            </w:pPr>
            <w:r>
              <w:rPr>
                <w:b/>
                <w:bCs/>
              </w:rPr>
              <w:t>Cod.Mat.PAC</w:t>
            </w:r>
          </w:p>
        </w:tc>
        <w:tc>
          <w:tcPr>
            <w:tcW w:w="1418" w:type="dxa"/>
            <w:tcBorders>
              <w:top w:val="single" w:sz="4" w:space="0" w:color="000000"/>
              <w:left w:val="single" w:sz="4" w:space="0" w:color="000000"/>
              <w:bottom w:val="single" w:sz="4" w:space="0" w:color="000000"/>
              <w:right w:val="single" w:sz="4" w:space="0" w:color="000000"/>
            </w:tcBorders>
          </w:tcPr>
          <w:p>
            <w:pPr>
              <w:pStyle w:val="BodyText"/>
              <w:spacing w:before="2" w:after="0"/>
              <w:jc w:val="center"/>
              <w:rPr/>
            </w:pPr>
            <w:r>
              <w:rPr>
                <w:b/>
                <w:bCs/>
              </w:rPr>
              <w:t>UNID. DE MEDIDA</w:t>
            </w:r>
          </w:p>
        </w:tc>
        <w:tc>
          <w:tcPr>
            <w:tcW w:w="1275" w:type="dxa"/>
            <w:tcBorders>
              <w:top w:val="single" w:sz="4" w:space="0" w:color="000000"/>
              <w:left w:val="single" w:sz="4" w:space="0" w:color="000000"/>
              <w:bottom w:val="single" w:sz="4" w:space="0" w:color="000000"/>
              <w:right w:val="single" w:sz="4" w:space="0" w:color="000000"/>
            </w:tcBorders>
          </w:tcPr>
          <w:p>
            <w:pPr>
              <w:pStyle w:val="BodyText"/>
              <w:spacing w:before="2" w:after="0"/>
              <w:jc w:val="center"/>
              <w:rPr>
                <w:b/>
                <w:bCs/>
              </w:rPr>
            </w:pPr>
            <w:r>
              <w:rPr>
                <w:b/>
                <w:bCs/>
              </w:rPr>
              <w:t>QUANT.</w:t>
            </w:r>
          </w:p>
        </w:tc>
        <w:tc>
          <w:tcPr>
            <w:tcW w:w="1560" w:type="dxa"/>
            <w:tcBorders>
              <w:top w:val="single" w:sz="4" w:space="0" w:color="000000"/>
              <w:left w:val="single" w:sz="4" w:space="0" w:color="000000"/>
              <w:bottom w:val="single" w:sz="4" w:space="0" w:color="000000"/>
              <w:right w:val="single" w:sz="4" w:space="0" w:color="000000"/>
            </w:tcBorders>
          </w:tcPr>
          <w:p>
            <w:pPr>
              <w:pStyle w:val="BodyText"/>
              <w:spacing w:before="2" w:after="0"/>
              <w:jc w:val="center"/>
              <w:rPr>
                <w:b/>
                <w:bCs/>
              </w:rPr>
            </w:pPr>
            <w:r>
              <w:rPr>
                <w:b/>
                <w:bCs/>
              </w:rPr>
              <w:t>VALOR UNITÁRIO</w:t>
            </w:r>
          </w:p>
        </w:tc>
        <w:tc>
          <w:tcPr>
            <w:tcW w:w="1416" w:type="dxa"/>
            <w:tcBorders>
              <w:top w:val="single" w:sz="4" w:space="0" w:color="000000"/>
              <w:left w:val="single" w:sz="4" w:space="0" w:color="000000"/>
              <w:bottom w:val="single" w:sz="4" w:space="0" w:color="000000"/>
              <w:right w:val="single" w:sz="4" w:space="0" w:color="000000"/>
            </w:tcBorders>
          </w:tcPr>
          <w:p>
            <w:pPr>
              <w:pStyle w:val="BodyText"/>
              <w:spacing w:before="2" w:after="0"/>
              <w:jc w:val="center"/>
              <w:rPr>
                <w:b/>
                <w:bCs/>
              </w:rPr>
            </w:pPr>
            <w:r>
              <w:rPr>
                <w:b/>
                <w:bCs/>
              </w:rPr>
              <w:t>VALOR TOTAL</w:t>
            </w:r>
          </w:p>
        </w:tc>
      </w:tr>
      <w:tr>
        <w:trPr/>
        <w:tc>
          <w:tcPr>
            <w:tcW w:w="993"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b/>
                <w:bCs/>
              </w:rPr>
            </w:pPr>
            <w:r>
              <w:rPr>
                <w:b/>
                <w:bCs/>
              </w:rPr>
              <w:t>1</w:t>
            </w:r>
          </w:p>
        </w:tc>
        <w:tc>
          <w:tcPr>
            <w:tcW w:w="2410"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560"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r>
      <w:tr>
        <w:trPr/>
        <w:tc>
          <w:tcPr>
            <w:tcW w:w="993"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b/>
                <w:bCs/>
              </w:rPr>
            </w:pPr>
            <w:r>
              <w:rPr>
                <w:b/>
                <w:bCs/>
              </w:rPr>
              <w:t>2</w:t>
            </w:r>
          </w:p>
        </w:tc>
        <w:tc>
          <w:tcPr>
            <w:tcW w:w="2410"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560"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r>
      <w:tr>
        <w:trPr/>
        <w:tc>
          <w:tcPr>
            <w:tcW w:w="993"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b/>
                <w:bCs/>
              </w:rPr>
            </w:pPr>
            <w:r>
              <w:rPr>
                <w:b/>
                <w:bCs/>
              </w:rPr>
              <w:t>3</w:t>
            </w:r>
          </w:p>
        </w:tc>
        <w:tc>
          <w:tcPr>
            <w:tcW w:w="2410"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560"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r>
      <w:tr>
        <w:trPr/>
        <w:tc>
          <w:tcPr>
            <w:tcW w:w="993"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b/>
                <w:bCs/>
              </w:rPr>
            </w:pPr>
            <w:r>
              <w:rPr>
                <w:b/>
                <w:bCs/>
              </w:rPr>
              <w:t>...</w:t>
            </w:r>
          </w:p>
        </w:tc>
        <w:tc>
          <w:tcPr>
            <w:tcW w:w="2410"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560"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BodyText"/>
              <w:spacing w:before="2" w:after="0"/>
              <w:jc w:val="both"/>
              <w:rPr/>
            </w:pPr>
            <w:r>
              <w:rPr/>
            </w:r>
          </w:p>
        </w:tc>
      </w:tr>
    </w:tbl>
    <w:p>
      <w:pPr>
        <w:pStyle w:val="BodyText"/>
        <w:spacing w:before="2" w:after="280"/>
        <w:jc w:val="both"/>
        <w:rPr/>
      </w:pPr>
      <w:r>
        <w:rPr/>
      </w:r>
    </w:p>
    <w:p>
      <w:pPr>
        <w:pStyle w:val="BodyText"/>
        <w:widowControl w:val="false"/>
        <w:numPr>
          <w:ilvl w:val="1"/>
          <w:numId w:val="3"/>
        </w:numPr>
        <w:spacing w:beforeAutospacing="0" w:before="2" w:afterAutospacing="0" w:after="0"/>
        <w:ind w:hanging="0" w:left="0"/>
        <w:jc w:val="both"/>
        <w:rPr/>
      </w:pPr>
      <w:r>
        <w:rPr/>
        <w:t>O objeto desta contratação não se enquadra como sendo de bem de luxo, conforme Decreto nº ___________________.</w:t>
      </w:r>
    </w:p>
    <w:p>
      <w:pPr>
        <w:pStyle w:val="BodyText"/>
        <w:spacing w:before="2" w:after="280"/>
        <w:jc w:val="both"/>
        <w:rPr/>
      </w:pPr>
      <w:r>
        <w:rPr/>
      </w:r>
    </w:p>
    <w:p>
      <w:pPr>
        <w:pStyle w:val="BodyText"/>
        <w:widowControl w:val="false"/>
        <w:numPr>
          <w:ilvl w:val="1"/>
          <w:numId w:val="3"/>
        </w:numPr>
        <w:spacing w:beforeAutospacing="0" w:before="2" w:afterAutospacing="0" w:after="0"/>
        <w:ind w:hanging="0" w:left="0"/>
        <w:jc w:val="both"/>
        <w:rPr/>
      </w:pPr>
      <w:r>
        <w:rPr/>
        <w:t>Os bens objeto desta contratação são caracterizados como comuns, conforme justificativa constante do Estudo Técnico Preliminar.</w:t>
      </w:r>
    </w:p>
    <w:p>
      <w:pPr>
        <w:pStyle w:val="ListParagraph"/>
        <w:ind w:left="0"/>
        <w:rPr>
          <w:sz w:val="24"/>
          <w:szCs w:val="24"/>
        </w:rPr>
      </w:pPr>
      <w:r>
        <w:rPr>
          <w:sz w:val="24"/>
          <w:szCs w:val="24"/>
        </w:rPr>
      </w:r>
    </w:p>
    <w:p>
      <w:pPr>
        <w:pStyle w:val="BodyText"/>
        <w:widowControl w:val="false"/>
        <w:numPr>
          <w:ilvl w:val="1"/>
          <w:numId w:val="3"/>
        </w:numPr>
        <w:spacing w:beforeAutospacing="0" w:before="2" w:afterAutospacing="0" w:after="0"/>
        <w:ind w:hanging="0" w:left="0"/>
        <w:jc w:val="both"/>
        <w:rPr/>
      </w:pPr>
      <w:r>
        <w:rPr/>
        <w:t>O prazo de vigência da contratação é de .............................. contados do(a) ............................., na forma do artigo 105 da Lei n° 14.133, de 2021.</w:t>
      </w:r>
    </w:p>
    <w:p>
      <w:pPr>
        <w:pStyle w:val="ListParagraph"/>
        <w:ind w:left="0"/>
        <w:rPr>
          <w:sz w:val="24"/>
          <w:szCs w:val="24"/>
        </w:rPr>
      </w:pPr>
      <w:r>
        <w:rPr>
          <w:sz w:val="24"/>
          <w:szCs w:val="24"/>
        </w:rPr>
      </w:r>
    </w:p>
    <w:p>
      <w:pPr>
        <w:pStyle w:val="BodyText"/>
        <w:spacing w:before="2" w:after="280"/>
        <w:jc w:val="center"/>
        <w:rPr>
          <w:b/>
          <w:bCs/>
          <w:u w:val="single"/>
        </w:rPr>
      </w:pPr>
      <w:r>
        <w:rPr>
          <w:b/>
          <w:bCs/>
          <w:u w:val="single"/>
        </w:rPr>
        <w:t>OU</w:t>
      </w:r>
    </w:p>
    <w:p>
      <w:pPr>
        <w:pStyle w:val="ListParagraph"/>
        <w:ind w:left="0"/>
        <w:rPr>
          <w:sz w:val="24"/>
          <w:szCs w:val="24"/>
        </w:rPr>
      </w:pPr>
      <w:r>
        <w:rPr>
          <w:sz w:val="24"/>
          <w:szCs w:val="24"/>
        </w:rPr>
      </w:r>
    </w:p>
    <w:p>
      <w:pPr>
        <w:pStyle w:val="BodyText"/>
        <w:widowControl w:val="false"/>
        <w:numPr>
          <w:ilvl w:val="1"/>
          <w:numId w:val="3"/>
        </w:numPr>
        <w:spacing w:beforeAutospacing="0" w:before="2" w:afterAutospacing="0" w:after="0"/>
        <w:ind w:hanging="0" w:left="0"/>
        <w:jc w:val="both"/>
        <w:rPr/>
      </w:pPr>
      <w:r>
        <w:rPr/>
        <w:t>O prazo de vigência da contratação é de .............................. (máximo de 5 anos para contrato e 1 ano para ata) contados da ......................, prorrogável por até (10 anos em caso de contratos ou 1 ano em caso de Ata), na forma dos artigos 106 e 107 da Lei n° 14.133, de 2021 ou art. 84 do mesmo diploma legal.</w:t>
      </w:r>
    </w:p>
    <w:p>
      <w:pPr>
        <w:pStyle w:val="ListParagraph"/>
        <w:ind w:left="0"/>
        <w:rPr>
          <w:sz w:val="24"/>
          <w:szCs w:val="24"/>
        </w:rPr>
      </w:pPr>
      <w:r>
        <w:rPr>
          <w:sz w:val="24"/>
          <w:szCs w:val="24"/>
        </w:rPr>
      </w:r>
    </w:p>
    <w:p>
      <w:pPr>
        <w:pStyle w:val="BodyText"/>
        <w:widowControl w:val="false"/>
        <w:numPr>
          <w:ilvl w:val="1"/>
          <w:numId w:val="3"/>
        </w:numPr>
        <w:spacing w:beforeAutospacing="0" w:before="2" w:afterAutospacing="0" w:after="0"/>
        <w:ind w:hanging="0" w:left="0"/>
        <w:jc w:val="both"/>
        <w:rPr/>
      </w:pPr>
      <w:r>
        <w:rPr/>
        <w:t>O fornecimento de bens é enquadrado como continuado tendo em vista que [...], sendo a vigência plurianual mais vantajosa considerando [...] OU o Estudo Técnico Preliminar OU os termos da Nota Técnica .../....</w:t>
      </w:r>
    </w:p>
    <w:p>
      <w:pPr>
        <w:pStyle w:val="ListParagraph"/>
        <w:ind w:left="0"/>
        <w:rPr>
          <w:sz w:val="24"/>
          <w:szCs w:val="24"/>
        </w:rPr>
      </w:pPr>
      <w:r>
        <w:rPr>
          <w:sz w:val="24"/>
          <w:szCs w:val="24"/>
        </w:rPr>
      </w:r>
    </w:p>
    <w:p>
      <w:pPr>
        <w:pStyle w:val="BodyText"/>
        <w:widowControl w:val="false"/>
        <w:numPr>
          <w:ilvl w:val="1"/>
          <w:numId w:val="3"/>
        </w:numPr>
        <w:spacing w:beforeAutospacing="0" w:before="2" w:afterAutospacing="0" w:after="0"/>
        <w:ind w:hanging="0" w:left="0"/>
        <w:jc w:val="both"/>
        <w:rPr/>
      </w:pPr>
      <w:r>
        <w:rPr/>
        <w:t>O contrato oferecerá maiores detalhamentos das regras que serão aplicadas em relação à vigência da contratação.</w:t>
      </w:r>
    </w:p>
    <w:p>
      <w:pPr>
        <w:pStyle w:val="BodyText"/>
        <w:spacing w:before="2" w:after="280"/>
        <w:jc w:val="both"/>
        <w:rPr/>
      </w:pPr>
      <w:r>
        <w:rPr/>
      </w:r>
    </w:p>
    <w:p>
      <w:pPr>
        <w:pStyle w:val="BodyText"/>
        <w:spacing w:before="2" w:after="280"/>
        <w:jc w:val="both"/>
        <w:rPr>
          <w:color w:val="002060"/>
          <w:sz w:val="22"/>
          <w:szCs w:val="22"/>
        </w:rPr>
      </w:pPr>
      <w:r>
        <w:rPr>
          <w:color w:val="002060"/>
          <w:sz w:val="22"/>
          <w:szCs w:val="22"/>
        </w:rPr>
      </w:r>
    </w:p>
    <w:tbl>
      <w:tblPr>
        <w:tblStyle w:val="Tabelacomgrade"/>
        <w:tblW w:w="85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05"/>
      </w:tblGrid>
      <w:tr>
        <w:trPr/>
        <w:tc>
          <w:tcPr>
            <w:tcW w:w="8505" w:type="dxa"/>
            <w:tcBorders/>
            <w:shd w:color="auto" w:fill="244061" w:themeFill="accent1" w:themeFillShade="80" w:val="clear"/>
          </w:tcPr>
          <w:p>
            <w:pPr>
              <w:pStyle w:val="BodyText"/>
              <w:widowControl/>
              <w:spacing w:before="2" w:after="0"/>
              <w:jc w:val="both"/>
              <w:rPr>
                <w:b/>
                <w:bCs/>
                <w:color w:themeColor="background1" w:val="FFFFFF"/>
                <w:sz w:val="22"/>
                <w:szCs w:val="22"/>
              </w:rPr>
            </w:pPr>
            <w:r>
              <w:rPr>
                <w:b/>
                <w:bCs/>
                <w:color w:themeColor="background1" w:val="FFFFFF"/>
                <w:kern w:val="0"/>
                <w:sz w:val="22"/>
                <w:szCs w:val="22"/>
                <w:lang w:val="pt-BR" w:bidi="ar-SA"/>
              </w:rPr>
              <w:t>2 – FUNDAMENTAÇÃO E DESCRIÇÃO DA NECESSIDADE DA CONTRATAÇÃO.</w:t>
            </w:r>
          </w:p>
        </w:tc>
      </w:tr>
    </w:tbl>
    <w:p>
      <w:pPr>
        <w:pStyle w:val="BodyText"/>
        <w:spacing w:before="2" w:after="280"/>
        <w:jc w:val="both"/>
        <w:rPr>
          <w:sz w:val="22"/>
          <w:szCs w:val="22"/>
        </w:rPr>
      </w:pPr>
      <w:r>
        <w:rPr>
          <w:sz w:val="22"/>
          <w:szCs w:val="22"/>
        </w:rPr>
      </w:r>
    </w:p>
    <w:p>
      <w:pPr>
        <w:pStyle w:val="BodyText"/>
        <w:spacing w:before="2" w:after="280"/>
        <w:jc w:val="both"/>
        <w:rPr>
          <w:sz w:val="22"/>
          <w:szCs w:val="22"/>
        </w:rPr>
      </w:pPr>
      <w:r>
        <w:rPr>
          <w:sz w:val="22"/>
          <w:szCs w:val="22"/>
        </w:rPr>
        <w:t>2.1</w:t>
      </w:r>
      <w:r>
        <w:rPr>
          <w:b/>
          <w:bCs/>
          <w:sz w:val="22"/>
          <w:szCs w:val="22"/>
        </w:rPr>
        <w:t xml:space="preserve">. </w:t>
      </w:r>
      <w:r>
        <w:rPr>
          <w:sz w:val="22"/>
          <w:szCs w:val="22"/>
        </w:rPr>
        <w:t>A Fundamentação da Contratação e de seus quantitativos encontra-se pormenorizada em Tópico específico dos Estudos Técnicos Preliminares, apêndice deste Termo de Referência.</w:t>
      </w:r>
    </w:p>
    <w:p>
      <w:pPr>
        <w:pStyle w:val="BodyText"/>
        <w:spacing w:before="2" w:after="280"/>
        <w:jc w:val="both"/>
        <w:rPr>
          <w:color w:val="002060"/>
        </w:rPr>
      </w:pPr>
      <w:r>
        <w:rPr>
          <w:color w:val="002060"/>
        </w:rPr>
      </w:r>
    </w:p>
    <w:p>
      <w:pPr>
        <w:pStyle w:val="Normal"/>
        <w:spacing w:lineRule="auto" w:line="240"/>
        <w:rPr>
          <w:rFonts w:ascii="Times New Roman" w:hAnsi="Times New Roman"/>
          <w:sz w:val="24"/>
          <w:szCs w:val="24"/>
        </w:rPr>
      </w:pPr>
      <w:r>
        <w:rPr>
          <w:rFonts w:ascii="Times New Roman" w:hAnsi="Times New Roman"/>
          <w:sz w:val="24"/>
          <w:szCs w:val="24"/>
        </w:rPr>
      </w:r>
    </w:p>
    <w:tbl>
      <w:tblPr>
        <w:tblStyle w:val="Tabelacomgrade"/>
        <w:tblW w:w="85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05"/>
      </w:tblGrid>
      <w:tr>
        <w:trPr>
          <w:trHeight w:val="234" w:hRule="atLeast"/>
        </w:trPr>
        <w:tc>
          <w:tcPr>
            <w:tcW w:w="8505" w:type="dxa"/>
            <w:tcBorders/>
            <w:shd w:color="auto" w:fill="244061" w:themeFill="accent1" w:themeFillShade="80" w:val="clear"/>
          </w:tcPr>
          <w:p>
            <w:pPr>
              <w:pStyle w:val="Normal"/>
              <w:widowControl/>
              <w:spacing w:before="0" w:after="0"/>
              <w:rPr>
                <w:rFonts w:ascii="Times New Roman" w:hAnsi="Times New Roman" w:eastAsia="Times New Roman"/>
                <w:b/>
                <w:bCs/>
                <w:color w:val="000000"/>
                <w:lang w:eastAsia="pt-BR"/>
              </w:rPr>
            </w:pPr>
            <w:r>
              <w:rPr>
                <w:rFonts w:eastAsia="Times New Roman" w:ascii="Times New Roman" w:hAnsi="Times New Roman"/>
                <w:b/>
                <w:bCs/>
                <w:color w:themeColor="background1" w:val="FFFFFF"/>
                <w:kern w:val="0"/>
                <w:sz w:val="22"/>
                <w:szCs w:val="22"/>
                <w:lang w:val="pt-BR" w:eastAsia="pt-BR" w:bidi="ar-SA"/>
              </w:rPr>
              <w:t>3 – DESCRIÇÃO DA SOLUÇÃO COMO UM TODO CONSIDERADO O CICLO DE VIDA DO OBJETO E ESPECIFICAÇÃO DO PRODUTO</w:t>
            </w:r>
          </w:p>
        </w:tc>
      </w:tr>
    </w:tbl>
    <w:p>
      <w:pPr>
        <w:pStyle w:val="Normal"/>
        <w:spacing w:lineRule="auto" w:line="240"/>
        <w:rPr>
          <w:rFonts w:ascii="Times New Roman" w:hAnsi="Times New Roman" w:eastAsia="Times New Roman"/>
          <w:b/>
          <w:bCs/>
          <w:color w:val="000000"/>
          <w:sz w:val="24"/>
          <w:szCs w:val="24"/>
          <w:lang w:eastAsia="pt-BR"/>
        </w:rPr>
      </w:pPr>
      <w:r>
        <w:rPr>
          <w:rFonts w:eastAsia="Times New Roman" w:ascii="Times New Roman" w:hAnsi="Times New Roman"/>
          <w:b/>
          <w:bCs/>
          <w:color w:val="000000"/>
          <w:sz w:val="24"/>
          <w:szCs w:val="24"/>
          <w:lang w:eastAsia="pt-BR"/>
        </w:rPr>
      </w:r>
    </w:p>
    <w:p>
      <w:pPr>
        <w:pStyle w:val="Normal"/>
        <w:spacing w:lineRule="auto" w:line="240"/>
        <w:rPr>
          <w:rFonts w:ascii="Times New Roman" w:hAnsi="Times New Roman"/>
          <w:bCs/>
          <w:sz w:val="24"/>
          <w:szCs w:val="24"/>
        </w:rPr>
      </w:pPr>
      <w:r>
        <w:rPr>
          <w:rFonts w:eastAsia="Times New Roman" w:ascii="Times New Roman" w:hAnsi="Times New Roman"/>
          <w:color w:val="000000"/>
          <w:sz w:val="24"/>
          <w:szCs w:val="24"/>
          <w:lang w:eastAsia="pt-BR"/>
        </w:rPr>
        <w:t xml:space="preserve">3.1. </w:t>
      </w:r>
      <w:r>
        <w:rPr>
          <w:rFonts w:ascii="Times New Roman" w:hAnsi="Times New Roman"/>
          <w:bCs/>
          <w:sz w:val="24"/>
          <w:szCs w:val="24"/>
        </w:rPr>
        <w:t>A descrição da solução como um todo encontra-se pormenorizada em tópico específico dos Estudos Técnicos Preliminares, apêndice deste Termo de Referência.</w:t>
      </w:r>
    </w:p>
    <w:p>
      <w:pPr>
        <w:pStyle w:val="Normal"/>
        <w:spacing w:lineRule="auto" w:line="240"/>
        <w:rPr>
          <w:rFonts w:ascii="Times New Roman" w:hAnsi="Times New Roman"/>
          <w:b/>
        </w:rPr>
      </w:pPr>
      <w:r>
        <w:rPr>
          <w:rFonts w:ascii="Times New Roman" w:hAnsi="Times New Roman"/>
          <w:b/>
        </w:rPr>
      </w:r>
    </w:p>
    <w:tbl>
      <w:tblPr>
        <w:tblStyle w:val="Tabelacomgrade"/>
        <w:tblW w:w="85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05"/>
      </w:tblGrid>
      <w:tr>
        <w:trPr/>
        <w:tc>
          <w:tcPr>
            <w:tcW w:w="8505" w:type="dxa"/>
            <w:tcBorders/>
            <w:shd w:color="auto" w:fill="244061" w:themeFill="accent1" w:themeFillShade="80" w:val="clear"/>
          </w:tcPr>
          <w:p>
            <w:pPr>
              <w:pStyle w:val="Normal"/>
              <w:widowControl/>
              <w:spacing w:before="0" w:after="0"/>
              <w:rPr>
                <w:rFonts w:ascii="Times New Roman" w:hAnsi="Times New Roman" w:eastAsia="Times New Roman"/>
                <w:b/>
                <w:bCs/>
                <w:color w:val="000000"/>
                <w:lang w:eastAsia="pt-BR"/>
              </w:rPr>
            </w:pPr>
            <w:r>
              <w:rPr>
                <w:rFonts w:eastAsia="Times New Roman" w:ascii="Times New Roman" w:hAnsi="Times New Roman"/>
                <w:b/>
                <w:bCs/>
                <w:color w:themeColor="background1" w:val="FFFFFF"/>
                <w:kern w:val="0"/>
                <w:sz w:val="22"/>
                <w:szCs w:val="22"/>
                <w:lang w:val="pt-BR" w:eastAsia="pt-BR" w:bidi="ar-SA"/>
              </w:rPr>
              <w:t>4 – REQUISITOS DA CONTRATAÇÃO</w:t>
            </w:r>
          </w:p>
        </w:tc>
      </w:tr>
    </w:tbl>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themeColor="text1" w:val="000000"/>
          <w:sz w:val="24"/>
          <w:szCs w:val="24"/>
          <w:lang w:eastAsia="pt-BR"/>
        </w:rPr>
      </w:pPr>
      <w:r>
        <w:rPr>
          <w:rFonts w:eastAsia="Times New Roman" w:ascii="Times New Roman" w:hAnsi="Times New Roman"/>
          <w:color w:themeColor="text1" w:val="000000"/>
          <w:sz w:val="24"/>
          <w:szCs w:val="24"/>
          <w:lang w:eastAsia="pt-BR"/>
        </w:rPr>
        <w:t>4.1. Os Requisitos da contração encontram-se pormenorizada em tópico específico dos Estudos Técnicos Preliminares, apêndice deste Termo de Referência.</w:t>
      </w:r>
    </w:p>
    <w:p>
      <w:pPr>
        <w:pStyle w:val="Normal"/>
        <w:spacing w:lineRule="auto" w:line="240"/>
        <w:rPr>
          <w:rFonts w:ascii="Times New Roman" w:hAnsi="Times New Roman" w:eastAsia="Times New Roman"/>
          <w:color w:val="0070C0"/>
          <w:sz w:val="24"/>
          <w:szCs w:val="24"/>
          <w:lang w:eastAsia="pt-BR"/>
        </w:rPr>
      </w:pPr>
      <w:r>
        <w:rPr>
          <w:rFonts w:eastAsia="Times New Roman" w:ascii="Times New Roman" w:hAnsi="Times New Roman"/>
          <w:color w:val="0070C0"/>
          <w:sz w:val="24"/>
          <w:szCs w:val="24"/>
          <w:lang w:eastAsia="pt-BR"/>
        </w:rPr>
      </w:r>
    </w:p>
    <w:tbl>
      <w:tblPr>
        <w:tblStyle w:val="Tabelacomgrade"/>
        <w:tblW w:w="85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05"/>
      </w:tblGrid>
      <w:tr>
        <w:trPr/>
        <w:tc>
          <w:tcPr>
            <w:tcW w:w="8505" w:type="dxa"/>
            <w:tcBorders/>
            <w:shd w:color="auto" w:fill="244061" w:themeFill="accent1" w:themeFillShade="80" w:val="clear"/>
          </w:tcPr>
          <w:p>
            <w:pPr>
              <w:pStyle w:val="Normal"/>
              <w:widowControl/>
              <w:spacing w:before="0" w:after="0"/>
              <w:rPr>
                <w:rFonts w:ascii="Times New Roman" w:hAnsi="Times New Roman"/>
                <w:b/>
                <w:color w:themeColor="background1" w:val="FFFFFF"/>
                <w:sz w:val="24"/>
                <w:szCs w:val="24"/>
              </w:rPr>
            </w:pPr>
            <w:r>
              <w:rPr>
                <w:rFonts w:ascii="Times New Roman" w:hAnsi="Times New Roman"/>
                <w:b/>
                <w:color w:themeColor="background1" w:val="FFFFFF"/>
                <w:kern w:val="0"/>
                <w:sz w:val="24"/>
                <w:szCs w:val="24"/>
                <w:lang w:val="pt-BR" w:eastAsia="en-US" w:bidi="ar-SA"/>
              </w:rPr>
              <w:t>5 – MODELO DE EXECUÇÃO DO OBJETO</w:t>
            </w:r>
          </w:p>
        </w:tc>
      </w:tr>
    </w:tbl>
    <w:p>
      <w:pPr>
        <w:pStyle w:val="Normal"/>
        <w:spacing w:lineRule="auto" w:line="240"/>
        <w:rPr>
          <w:rFonts w:ascii="Times New Roman" w:hAnsi="Times New Roman"/>
          <w:b/>
          <w:color w:val="0070C0"/>
          <w:sz w:val="24"/>
          <w:szCs w:val="24"/>
        </w:rPr>
      </w:pPr>
      <w:r>
        <w:rPr>
          <w:rFonts w:ascii="Times New Roman" w:hAnsi="Times New Roman"/>
          <w:b/>
          <w:color w:val="0070C0"/>
          <w:sz w:val="24"/>
          <w:szCs w:val="24"/>
        </w:rPr>
      </w:r>
    </w:p>
    <w:p>
      <w:pPr>
        <w:pStyle w:val="Nvel1-SemNum"/>
        <w:spacing w:lineRule="auto" w:line="312" w:before="120" w:after="288"/>
        <w:ind w:hanging="0" w:left="0"/>
        <w:rPr>
          <w:rFonts w:ascii="Times New Roman" w:hAnsi="Times New Roman" w:eastAsia="Calibri" w:cs="Times New Roman" w:eastAsiaTheme="minorHAnsi"/>
          <w:color w:val="0070C0"/>
          <w:sz w:val="24"/>
          <w:szCs w:val="24"/>
          <w:lang w:eastAsia="en-US"/>
        </w:rPr>
      </w:pPr>
      <w:r>
        <w:rPr>
          <w:rFonts w:eastAsia="Calibri" w:cs="Times New Roman" w:ascii="Times New Roman" w:hAnsi="Times New Roman" w:eastAsiaTheme="minorHAnsi"/>
          <w:color w:val="0070C0"/>
          <w:sz w:val="24"/>
          <w:szCs w:val="24"/>
          <w:lang w:eastAsia="en-US"/>
        </w:rPr>
        <w:t>Condições de Entrega</w:t>
      </w:r>
    </w:p>
    <w:p>
      <w:pPr>
        <w:pStyle w:val="ListParagraph"/>
        <w:keepNext w:val="true"/>
        <w:keepLines/>
        <w:numPr>
          <w:ilvl w:val="0"/>
          <w:numId w:val="8"/>
        </w:numPr>
        <w:tabs>
          <w:tab w:val="clear" w:pos="708"/>
          <w:tab w:val="left" w:pos="567" w:leader="none"/>
        </w:tabs>
        <w:spacing w:lineRule="auto" w:line="312" w:before="240" w:after="288"/>
        <w:jc w:val="both"/>
        <w:outlineLvl w:val="0"/>
        <w:rPr>
          <w:rFonts w:eastAsia="Calibri" w:eastAsiaTheme="minorHAnsi"/>
          <w:b/>
          <w:bCs/>
          <w:vanish/>
          <w:color w:val="0070C0"/>
          <w:sz w:val="24"/>
          <w:szCs w:val="24"/>
        </w:rPr>
      </w:pPr>
      <w:r>
        <w:rPr>
          <w:rFonts w:eastAsia="Calibri" w:eastAsiaTheme="minorHAnsi"/>
          <w:b/>
          <w:bCs/>
          <w:vanish/>
          <w:color w:val="0070C0"/>
          <w:sz w:val="24"/>
          <w:szCs w:val="24"/>
        </w:rPr>
      </w:r>
    </w:p>
    <w:p>
      <w:pPr>
        <w:pStyle w:val="Nivel2"/>
        <w:numPr>
          <w:ilvl w:val="1"/>
          <w:numId w:val="5"/>
        </w:numPr>
        <w:spacing w:lineRule="auto" w:line="312" w:before="120" w:after="288"/>
        <w:ind w:hanging="0" w:left="0"/>
        <w:rPr>
          <w:rFonts w:ascii="Times New Roman" w:hAnsi="Times New Roman" w:eastAsia="Calibri" w:cs="Times New Roman" w:eastAsiaTheme="minorHAnsi"/>
          <w:color w:val="0070C0"/>
          <w:sz w:val="24"/>
          <w:szCs w:val="24"/>
          <w:lang w:eastAsia="en-US"/>
        </w:rPr>
      </w:pPr>
      <w:r>
        <w:rPr>
          <w:rFonts w:eastAsia="Calibri" w:cs="Times New Roman" w:ascii="Times New Roman" w:hAnsi="Times New Roman" w:eastAsiaTheme="minorHAnsi"/>
          <w:color w:val="0070C0"/>
          <w:sz w:val="24"/>
          <w:szCs w:val="24"/>
          <w:lang w:eastAsia="en-US"/>
        </w:rPr>
        <w:t xml:space="preserve">O prazo de entrega dos bens é de ......... dias, contados do(a) ................................, em remessa .............. (única ou parcelada).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Caso não seja possível a entrega na data assinalada, a empresa deverá comunicar as razões respectivas com pelo menos ...... (...) dias de antecedência para que qualquer pleito de prorrogação de prazo seja analisado, ressalvadas situações de caso fortuito e força maior.</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Os bens deverão ser entregues no seguinte endereço [...]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No caso de produtos perecíveis, o prazo de validade na data da entrega não poderá ser inferior a ...... (......) (dias ou meses ou anos), ou a (metade, um terço, dois terços etc.) do prazo total recomendado pelo fabricante.</w:t>
      </w:r>
    </w:p>
    <w:p>
      <w:pPr>
        <w:pStyle w:val="Nvel2-Red"/>
        <w:numPr>
          <w:ilvl w:val="0"/>
          <w:numId w:val="0"/>
        </w:numPr>
        <w:spacing w:lineRule="auto" w:line="240" w:before="120" w:after="288"/>
        <w:ind w:firstLine="708" w:left="0"/>
        <w:rPr>
          <w:rFonts w:ascii="Times New Roman" w:hAnsi="Times New Roman" w:cs="Times New Roman"/>
          <w:b/>
          <w:bCs/>
          <w:i w:val="false"/>
          <w:i w:val="false"/>
          <w:iCs w:val="false"/>
          <w:color w:val="0070C0"/>
          <w:sz w:val="24"/>
          <w:szCs w:val="24"/>
        </w:rPr>
      </w:pPr>
      <w:r>
        <w:rPr>
          <w:rFonts w:cs="Times New Roman" w:ascii="Times New Roman" w:hAnsi="Times New Roman"/>
          <w:b/>
          <w:bCs/>
          <w:i w:val="false"/>
          <w:iCs w:val="false"/>
          <w:color w:val="0070C0"/>
          <w:sz w:val="24"/>
          <w:szCs w:val="24"/>
        </w:rPr>
        <w:t xml:space="preserve">Garantia, manutenção e assistência técnica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O prazo de garantia é aquele estabelecido na Lei nº 8.078, de 11 de setembro de 1990 (Código de Defesa do Consumidor)</w:t>
      </w:r>
    </w:p>
    <w:p>
      <w:pPr>
        <w:pStyle w:val="Nvel2-Red"/>
        <w:numPr>
          <w:ilvl w:val="0"/>
          <w:numId w:val="0"/>
        </w:numPr>
        <w:spacing w:lineRule="auto" w:line="240" w:before="120" w:after="288"/>
        <w:ind w:hanging="0" w:left="0"/>
        <w:jc w:val="center"/>
        <w:rPr>
          <w:rFonts w:ascii="Times New Roman" w:hAnsi="Times New Roman" w:cs="Times New Roman"/>
          <w:b/>
          <w:bCs/>
          <w:i w:val="false"/>
          <w:i w:val="false"/>
          <w:iCs w:val="false"/>
          <w:color w:val="0070C0"/>
          <w:sz w:val="24"/>
          <w:szCs w:val="24"/>
          <w:u w:val="single"/>
        </w:rPr>
      </w:pPr>
      <w:r>
        <w:rPr>
          <w:rFonts w:cs="Times New Roman" w:ascii="Times New Roman" w:hAnsi="Times New Roman"/>
          <w:b/>
          <w:bCs/>
          <w:i w:val="false"/>
          <w:iCs w:val="false"/>
          <w:color w:val="0070C0"/>
          <w:sz w:val="24"/>
          <w:szCs w:val="24"/>
          <w:u w:val="single"/>
        </w:rPr>
        <w:t>OU</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O prazo de garantia contratual dos bens, complementar à garantia legal, será de, no mínimo, ___ (____) meses, contado a partir do primeiro dia útil subsequente à data do recebimento definitivo do objeto.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Caso o prazo da garantia oferecida pelo fabricante seja inferior ao estabelecido nesta cláusula, o fornecedor deverá complementar a garantia do bem ofertado pelo período restante. </w:t>
      </w:r>
    </w:p>
    <w:p>
      <w:pPr>
        <w:pStyle w:val="Nvel2-Red"/>
        <w:numPr>
          <w:ilvl w:val="0"/>
          <w:numId w:val="0"/>
        </w:numPr>
        <w:spacing w:lineRule="auto" w:line="240" w:before="120" w:after="288"/>
        <w:ind w:hanging="0" w:left="0"/>
        <w:jc w:val="center"/>
        <w:rPr>
          <w:rFonts w:ascii="Times New Roman" w:hAnsi="Times New Roman" w:cs="Times New Roman"/>
          <w:b/>
          <w:bCs/>
          <w:i w:val="false"/>
          <w:i w:val="false"/>
          <w:iCs w:val="false"/>
          <w:color w:val="0070C0"/>
          <w:sz w:val="24"/>
          <w:szCs w:val="24"/>
          <w:u w:val="single"/>
        </w:rPr>
      </w:pPr>
      <w:r>
        <w:rPr>
          <w:rFonts w:cs="Times New Roman" w:ascii="Times New Roman" w:hAnsi="Times New Roman"/>
          <w:b/>
          <w:bCs/>
          <w:i w:val="false"/>
          <w:iCs w:val="false"/>
          <w:color w:val="0070C0"/>
          <w:sz w:val="24"/>
          <w:szCs w:val="24"/>
          <w:u w:val="single"/>
        </w:rPr>
        <w:t>OU</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A garantia será prestada com vistas a manter os equipamentos fornecidos em perfeitas condições de uso, sem qualquer ônus ou custo adicional para o Contratante.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A garantia abrange a realização da manutenção corretiva dos bens pelo próprio Contratado, ou, se for o caso, por meio de assistência técnica autorizada, de acordo com as normas técnicas específicas.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Entende-se por manutenção corretiva aquela destinada a corrigir os defeitos apresentados pelos bens, compreendendo a substituição de peças, a realização de ajustes, reparos e correções necessárias.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O prazo indicado no subitem anterior, durante seu transcurso, poderá ser prorrogado uma única vez, por igual período, mediante solicitação escrita e justificada do Contratado, aceita pelo Contratante.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pPr>
        <w:pStyle w:val="Nvel2-Red"/>
        <w:numPr>
          <w:ilvl w:val="1"/>
          <w:numId w:val="5"/>
        </w:numPr>
        <w:spacing w:lineRule="auto" w:line="240" w:before="120" w:after="288"/>
        <w:ind w:hanging="0" w:left="0"/>
        <w:rPr>
          <w:rFonts w:ascii="Times New Roman" w:hAnsi="Times New Roman" w:cs="Times New Roman"/>
          <w:i w:val="false"/>
          <w:i w:val="false"/>
          <w:iCs w:val="false"/>
          <w:color w:val="0070C0"/>
          <w:sz w:val="24"/>
          <w:szCs w:val="24"/>
        </w:rPr>
      </w:pPr>
      <w:r>
        <w:rPr>
          <w:rFonts w:cs="Times New Roman" w:ascii="Times New Roman" w:hAnsi="Times New Roman"/>
          <w:i w:val="false"/>
          <w:iCs w:val="false"/>
          <w:color w:val="0070C0"/>
          <w:sz w:val="24"/>
          <w:szCs w:val="24"/>
        </w:rPr>
        <w:t xml:space="preserve">O custo referente ao transporte dos equipamentos cobertos pela garantia será de responsabilidade do Contratado. </w:t>
      </w:r>
    </w:p>
    <w:p>
      <w:pPr>
        <w:pStyle w:val="Nvel2-Red"/>
        <w:numPr>
          <w:ilvl w:val="1"/>
          <w:numId w:val="5"/>
        </w:numPr>
        <w:spacing w:lineRule="auto" w:line="240" w:before="120" w:after="288"/>
        <w:ind w:hanging="0" w:left="0"/>
        <w:rPr>
          <w:rFonts w:ascii="Times New Roman" w:hAnsi="Times New Roman" w:cs="Times New Roman"/>
          <w:i w:val="false"/>
          <w:i w:val="false"/>
          <w:iCs w:val="false"/>
          <w:sz w:val="24"/>
          <w:szCs w:val="24"/>
        </w:rPr>
      </w:pPr>
      <w:r>
        <w:rPr>
          <w:rFonts w:cs="Times New Roman" w:ascii="Times New Roman" w:hAnsi="Times New Roman"/>
          <w:i w:val="false"/>
          <w:iCs w:val="false"/>
          <w:color w:val="0070C0"/>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pPr>
        <w:pStyle w:val="Normal"/>
        <w:spacing w:lineRule="auto" w:line="240"/>
        <w:rPr>
          <w:rFonts w:ascii="Times New Roman" w:hAnsi="Times New Roman"/>
          <w:color w:themeColor="accent1" w:themeShade="80" w:val="244061"/>
          <w:sz w:val="20"/>
          <w:szCs w:val="20"/>
        </w:rPr>
      </w:pPr>
      <w:r>
        <w:rPr>
          <w:rFonts w:ascii="Times New Roman" w:hAnsi="Times New Roman"/>
          <w:color w:themeColor="accent1" w:themeShade="80" w:val="244061"/>
          <w:sz w:val="20"/>
          <w:szCs w:val="20"/>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shd w:color="auto" w:fill="244061" w:themeFill="accent1" w:themeFillShade="80" w:val="clear"/>
          </w:tcPr>
          <w:p>
            <w:pPr>
              <w:pStyle w:val="Normal"/>
              <w:widowControl/>
              <w:spacing w:before="0" w:after="0"/>
              <w:rPr>
                <w:rFonts w:ascii="Times New Roman" w:hAnsi="Times New Roman" w:eastAsia="Times New Roman"/>
                <w:b/>
                <w:bCs/>
                <w:color w:themeColor="background1" w:val="FFFFFF"/>
                <w:sz w:val="24"/>
                <w:szCs w:val="24"/>
                <w:lang w:eastAsia="pt-BR"/>
              </w:rPr>
            </w:pPr>
            <w:r>
              <w:rPr>
                <w:rFonts w:eastAsia="Times New Roman" w:ascii="Times New Roman" w:hAnsi="Times New Roman"/>
                <w:b/>
                <w:bCs/>
                <w:color w:themeColor="background1" w:val="FFFFFF"/>
                <w:kern w:val="0"/>
                <w:sz w:val="24"/>
                <w:szCs w:val="24"/>
                <w:lang w:val="pt-BR" w:eastAsia="pt-BR" w:bidi="ar-SA"/>
              </w:rPr>
              <w:t>6 – MODELO DE GESTÃO DO CONTRATO</w:t>
            </w:r>
          </w:p>
        </w:tc>
      </w:tr>
    </w:tbl>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6.1. O contrato deverá ser executado fielmente pelas partes, de acordo com as cláusulas avençadas e as normas da Lei nº 14.133, de 2021, e cada parte responderá pelas consequências de sua inexecução total ou parcial.</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6.2.</w:t>
        <w:tab/>
        <w:t>Em caso de impedimento, ordem de paralisação ou suspensão do contrato, o cronograma de execução será prorrogado automaticamente pelo tempo correspondente, anotadas tais circunstâncias mediante simples apostila.</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6.3.</w:t>
        <w:tab/>
        <w:t>As comunicações entre o órgão ou entidade e a contratada devem ser realizadas por escrito sempre que o ato exigir tal formalidade, admitindo-se o uso de mensagem eletrônica para esse fim.</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6.4.</w:t>
        <w:tab/>
        <w:t>O órgão ou entidade poderá convocar representante da empresa para adoção de providências que devam ser cumpridas de imediato.</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6.5.</w:t>
        <w:tab/>
      </w:r>
      <w:r>
        <w:rPr>
          <w:rFonts w:eastAsia="Times New Roman" w:ascii="Times New Roman" w:hAnsi="Times New Roman"/>
          <w:color w:themeColor="text1" w:val="000000"/>
          <w:sz w:val="24"/>
          <w:szCs w:val="24"/>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6.6.</w:t>
        <w:tab/>
        <w:t>A execução do contrato deverá ser acompanhada e fiscalizada pelo(s) fiscal(is) do contrato, ou pelos respectivos substitutos (Lei nº 14.133, de 2021, art. 117, caput).</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6.7.</w:t>
        <w:tab/>
        <w:t>O fiscal do contrato acompanhará a execução do contrato, para que sejam cumpridas todas as condições estabelecidas no contrato, de modo a assegurar os melhores resultados para a Administração.</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6.7.1.</w:t>
        <w:tab/>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nº xxxxxxx);</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6.7.2.</w:t>
        <w:tab/>
        <w:t xml:space="preserve">Identificada qualquer inexatidão ou irregularidade, o fiscal técnico do contrato emitirá notificações para a correção da execução do contrato, determinando prazo para a correção. </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6.7.3.</w:t>
        <w:tab/>
        <w:t>O fiscal do contrato informará ao gestor do contato, em tempo hábil, a situação que demandar decisão ou adoção de medidas que ultrapassem sua competência, para que adote as medidas necessárias e saneadoras, se for o caso.</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6.7.4.</w:t>
        <w:tab/>
        <w:t>No caso de ocorrências que possam inviabilizar a execução do contrato nas datas aprazadas, o fiscal técnico do contrato comunicará o fato imediatamente ao gestor do contrato.</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6.7.5.</w:t>
        <w:tab/>
        <w:t>O fiscal do contrato comunicar ao gestor do contrato, em tempo hábil, o término do contrato sob sua responsabilidade, com vistas à renovação tempestiva ou à prorrogação contratual.</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6.8.</w:t>
        <w:tab/>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6.8.1.</w:t>
        <w:tab/>
        <w:t>Caso ocorram descumprimento das obrigações contratuais, o fiscal do contrato atuará tempestivamente na solução do problema, reportando ao gestor do contrato para que tome as providências cabíveis, quando ultrapassar a sua competência;</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6.9.</w:t>
        <w:tab/>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6.9.1.</w:t>
        <w:tab/>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6.9.2.</w:t>
        <w:tab/>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6.9.3.</w:t>
        <w:ta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6.9.4.</w:t>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6.10.</w:t>
        <w:tab/>
        <w:t>O fiscal do contrato comunicará ao gestor do contrato, em tempo hábil, o término do contrato sob sua responsabilidade, com vistas à tempestiva renovação ou prorrogação contratual.</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t>6.11.</w:t>
        <w:tab/>
        <w:t>O gestor do contrato deverá elaborará relatório final com informações sobre a consecução dos objetivos que tenham justificado a contratação e eventuais condutas a serem adotadas para o aprimoramento das atividades da Administração.</w:t>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shd w:color="auto" w:fill="244061" w:themeFill="accent1" w:themeFillShade="80" w:val="clear"/>
          </w:tcPr>
          <w:p>
            <w:pPr>
              <w:pStyle w:val="Normal"/>
              <w:widowControl/>
              <w:spacing w:before="0" w:after="0"/>
              <w:rPr>
                <w:rFonts w:ascii="Times New Roman" w:hAnsi="Times New Roman"/>
                <w:b/>
                <w:bCs/>
                <w:sz w:val="24"/>
                <w:szCs w:val="24"/>
              </w:rPr>
            </w:pPr>
            <w:r>
              <w:rPr>
                <w:rFonts w:ascii="Times New Roman" w:hAnsi="Times New Roman"/>
                <w:b/>
                <w:bCs/>
                <w:color w:themeColor="background1" w:val="FFFFFF"/>
                <w:kern w:val="0"/>
                <w:sz w:val="24"/>
                <w:szCs w:val="24"/>
                <w:lang w:val="pt-BR" w:eastAsia="en-US" w:bidi="ar-SA"/>
              </w:rPr>
              <w:t xml:space="preserve"> </w:t>
            </w:r>
            <w:r>
              <w:rPr>
                <w:rFonts w:ascii="Times New Roman" w:hAnsi="Times New Roman"/>
                <w:b/>
                <w:bCs/>
                <w:color w:themeColor="background1" w:val="FFFFFF"/>
                <w:kern w:val="0"/>
                <w:sz w:val="24"/>
                <w:szCs w:val="24"/>
                <w:lang w:val="pt-BR" w:eastAsia="en-US" w:bidi="ar-SA"/>
              </w:rPr>
              <w:t>7- CRITÉRIOS DE MEDIÇÃO E DE PAGAMENTO</w:t>
            </w:r>
          </w:p>
        </w:tc>
      </w:tr>
    </w:tbl>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Nvel1-SemNum"/>
        <w:spacing w:lineRule="auto" w:line="312" w:before="120" w:after="288"/>
        <w:ind w:hanging="0" w:left="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Recebimento do Objeto</w:t>
      </w:r>
    </w:p>
    <w:p>
      <w:pPr>
        <w:pStyle w:val="ListParagraph"/>
        <w:keepNext w:val="true"/>
        <w:keepLines/>
        <w:numPr>
          <w:ilvl w:val="0"/>
          <w:numId w:val="9"/>
        </w:numPr>
        <w:tabs>
          <w:tab w:val="clear" w:pos="708"/>
          <w:tab w:val="left" w:pos="567" w:leader="none"/>
        </w:tabs>
        <w:spacing w:before="240" w:after="0"/>
        <w:jc w:val="both"/>
        <w:outlineLvl w:val="0"/>
        <w:rPr>
          <w:b/>
          <w:bCs/>
          <w:vanish/>
        </w:rPr>
      </w:pPr>
      <w:r>
        <w:rPr>
          <w:b/>
          <w:bCs/>
          <w:vanish/>
        </w:rPr>
      </w:r>
    </w:p>
    <w:p>
      <w:pPr>
        <w:pStyle w:val="ListParagraph"/>
        <w:keepNext w:val="true"/>
        <w:keepLines/>
        <w:numPr>
          <w:ilvl w:val="0"/>
          <w:numId w:val="10"/>
        </w:numPr>
        <w:tabs>
          <w:tab w:val="clear" w:pos="708"/>
          <w:tab w:val="left" w:pos="567" w:leader="none"/>
        </w:tabs>
        <w:spacing w:before="240" w:after="0"/>
        <w:jc w:val="both"/>
        <w:outlineLvl w:val="0"/>
        <w:rPr>
          <w:b/>
          <w:bCs/>
          <w:vanish/>
        </w:rPr>
      </w:pPr>
      <w:r>
        <w:rPr>
          <w:b/>
          <w:bCs/>
          <w:vanish/>
        </w:rPr>
      </w:r>
    </w:p>
    <w:p>
      <w:pPr>
        <w:pStyle w:val="ListParagraph"/>
        <w:keepNext w:val="true"/>
        <w:keepLines/>
        <w:numPr>
          <w:ilvl w:val="0"/>
          <w:numId w:val="11"/>
        </w:numPr>
        <w:tabs>
          <w:tab w:val="clear" w:pos="708"/>
          <w:tab w:val="left" w:pos="567" w:leader="none"/>
        </w:tabs>
        <w:spacing w:before="240" w:after="0"/>
        <w:jc w:val="both"/>
        <w:outlineLvl w:val="0"/>
        <w:rPr>
          <w:b/>
          <w:bCs/>
          <w:vanish/>
        </w:rPr>
      </w:pPr>
      <w:r>
        <w:rPr>
          <w:b/>
          <w:bCs/>
          <w:vanish/>
        </w:rPr>
      </w:r>
    </w:p>
    <w:p>
      <w:pPr>
        <w:pStyle w:val="ListParagraph"/>
        <w:keepNext w:val="true"/>
        <w:keepLines/>
        <w:numPr>
          <w:ilvl w:val="0"/>
          <w:numId w:val="12"/>
        </w:numPr>
        <w:tabs>
          <w:tab w:val="clear" w:pos="708"/>
          <w:tab w:val="left" w:pos="567" w:leader="none"/>
        </w:tabs>
        <w:spacing w:before="240" w:after="0"/>
        <w:jc w:val="both"/>
        <w:outlineLvl w:val="0"/>
        <w:rPr>
          <w:b/>
          <w:bCs/>
          <w:vanish/>
        </w:rPr>
      </w:pPr>
      <w:r>
        <w:rPr>
          <w:b/>
          <w:bCs/>
          <w:vanish/>
        </w:rPr>
      </w:r>
    </w:p>
    <w:p>
      <w:pPr>
        <w:pStyle w:val="ListParagraph"/>
        <w:keepNext w:val="true"/>
        <w:keepLines/>
        <w:numPr>
          <w:ilvl w:val="0"/>
          <w:numId w:val="13"/>
        </w:numPr>
        <w:tabs>
          <w:tab w:val="clear" w:pos="708"/>
          <w:tab w:val="left" w:pos="567" w:leader="none"/>
        </w:tabs>
        <w:spacing w:before="240" w:after="0"/>
        <w:jc w:val="both"/>
        <w:outlineLvl w:val="0"/>
        <w:rPr>
          <w:b/>
          <w:bCs/>
          <w:vanish/>
        </w:rPr>
      </w:pPr>
      <w:r>
        <w:rPr>
          <w:b/>
          <w:bCs/>
          <w:vanish/>
        </w:rPr>
      </w:r>
    </w:p>
    <w:p>
      <w:pPr>
        <w:pStyle w:val="ListParagraph"/>
        <w:keepNext w:val="true"/>
        <w:keepLines/>
        <w:numPr>
          <w:ilvl w:val="0"/>
          <w:numId w:val="14"/>
        </w:numPr>
        <w:tabs>
          <w:tab w:val="clear" w:pos="708"/>
          <w:tab w:val="left" w:pos="567" w:leader="none"/>
        </w:tabs>
        <w:spacing w:before="240" w:after="0"/>
        <w:jc w:val="both"/>
        <w:outlineLvl w:val="0"/>
        <w:rPr>
          <w:b/>
          <w:bCs/>
          <w:vanish/>
        </w:rPr>
      </w:pPr>
      <w:r>
        <w:rPr>
          <w:b/>
          <w:bCs/>
          <w:vanish/>
        </w:rPr>
      </w:r>
    </w:p>
    <w:p>
      <w:pPr>
        <w:pStyle w:val="Nivel2"/>
        <w:numPr>
          <w:ilvl w:val="1"/>
          <w:numId w:val="15"/>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pPr>
        <w:pStyle w:val="Nivel2"/>
        <w:numPr>
          <w:ilvl w:val="1"/>
          <w:numId w:val="16"/>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Os bens poderão ser rejeitados, no todo ou em parte, inclusive antes do recebimento provisório, quando em desacordo com as especificações constantes no Termo de Referência e na proposta, devendo ser substituídos no prazo de </w:t>
      </w:r>
      <w:r>
        <w:rPr>
          <w:rFonts w:eastAsia="Times New Roman" w:cs="Times New Roman" w:ascii="Times New Roman" w:hAnsi="Times New Roman"/>
          <w:color w:val="FF0000"/>
          <w:sz w:val="24"/>
          <w:szCs w:val="24"/>
        </w:rPr>
        <w:t>.... (...)</w:t>
      </w:r>
      <w:r>
        <w:rPr>
          <w:rFonts w:eastAsia="Times New Roman" w:cs="Times New Roman" w:ascii="Times New Roman" w:hAnsi="Times New Roman"/>
          <w:sz w:val="24"/>
          <w:szCs w:val="24"/>
        </w:rPr>
        <w:t xml:space="preserve"> dias, a contar da notificação da contratada, às suas custas, sem prejuízo da aplicação das penalidades.</w:t>
      </w:r>
    </w:p>
    <w:p>
      <w:pPr>
        <w:pStyle w:val="Nivel2"/>
        <w:numPr>
          <w:ilvl w:val="1"/>
          <w:numId w:val="17"/>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 recebimento definitivo ocorrerá no prazo de </w:t>
      </w:r>
      <w:r>
        <w:rPr>
          <w:rFonts w:eastAsia="Times New Roman" w:cs="Times New Roman" w:ascii="Times New Roman" w:hAnsi="Times New Roman"/>
          <w:color w:themeColor="text1" w:val="000000"/>
          <w:sz w:val="24"/>
          <w:szCs w:val="24"/>
        </w:rPr>
        <w:t>05 (cinco)</w:t>
      </w:r>
      <w:r>
        <w:rPr>
          <w:rFonts w:eastAsia="Times New Roman" w:cs="Times New Roman" w:ascii="Times New Roman" w:hAnsi="Times New Roman"/>
          <w:sz w:val="24"/>
          <w:szCs w:val="24"/>
        </w:rPr>
        <w:t xml:space="preserve"> dias úteis, a contar do recebimento da nota fiscal ou instrumento de cobrança equivalente pela Administração, após a verificação da qualidade e quantidade do material e consequente aceitação mediante termo detalhado.</w:t>
      </w:r>
    </w:p>
    <w:p>
      <w:pPr>
        <w:pStyle w:val="Nivel2"/>
        <w:numPr>
          <w:ilvl w:val="1"/>
          <w:numId w:val="18"/>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 prazo para recebimento definitivo poderá ser excepcionalmente prorrogado, de forma justificada, por igual período, quando houver necessidade de diligências para a aferição do atendimento das exigências contratuais.</w:t>
      </w:r>
    </w:p>
    <w:p>
      <w:pPr>
        <w:pStyle w:val="Nivel2"/>
        <w:numPr>
          <w:ilvl w:val="1"/>
          <w:numId w:val="19"/>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No caso de controvérsia sobre a execução do objeto, quanto à dimensão, qualidade e quantidade, deverá ser observado o teor do </w:t>
      </w:r>
      <w:r>
        <w:fldChar w:fldCharType="begin"/>
      </w:r>
      <w:r>
        <w:rPr>
          <w:sz w:val="24"/>
          <w:szCs w:val="24"/>
          <w:rFonts w:eastAsia="Times New Roman" w:cs="Times New Roman" w:ascii="Times New Roman" w:hAnsi="Times New Roman"/>
        </w:rPr>
        <w:instrText xml:space="preserve"> HYPERLINK "http://www.planalto.gov.br/ccivil_03/_ato2019-2022/2021/lei/L14133.htm" \l "art143"</w:instrText>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art. 143 da Lei nº 14.133, de 2021</w:t>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 comunicando-se à empresa para emissão de Nota Fiscal no que pertinente à parcela incontroversa da execução do objeto, para efeito de liquidação e pagamento.</w:t>
      </w:r>
    </w:p>
    <w:p>
      <w:pPr>
        <w:pStyle w:val="Nivel2"/>
        <w:numPr>
          <w:ilvl w:val="1"/>
          <w:numId w:val="20"/>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Nivel2"/>
        <w:numPr>
          <w:ilvl w:val="1"/>
          <w:numId w:val="21"/>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 recebimento provisório ou definitivo não excluirá a responsabilidade civil pela solidez e pela segurança do serviço nem a responsabilidade ético-profissional pela perfeita execução do contrato.</w:t>
      </w:r>
    </w:p>
    <w:p>
      <w:pPr>
        <w:pStyle w:val="Nvel1-SemNum"/>
        <w:spacing w:lineRule="auto" w:line="312" w:before="120" w:after="288"/>
        <w:ind w:hanging="0" w:left="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Liquidação</w:t>
      </w:r>
    </w:p>
    <w:p>
      <w:pPr>
        <w:pStyle w:val="Nivel2"/>
        <w:numPr>
          <w:ilvl w:val="1"/>
          <w:numId w:val="22"/>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Recebida a Nota Fiscal ou documento de cobrança equivalente, correrá o prazo de cinco dias úteis para fins de liquidação, na forma desta seção, prorrogáveis por igual período.</w:t>
      </w:r>
    </w:p>
    <w:p>
      <w:pPr>
        <w:pStyle w:val="Nivel2"/>
        <w:numPr>
          <w:ilvl w:val="1"/>
          <w:numId w:val="23"/>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Para fins de liquidação, o setor competente deverá verificar se a nota fiscal ou instrumento de cobrança equivalente apresentado, expressa os elementos necessários e essenciais do documento.</w:t>
      </w:r>
    </w:p>
    <w:p>
      <w:pPr>
        <w:pStyle w:val="Nivel2"/>
        <w:numPr>
          <w:ilvl w:val="1"/>
          <w:numId w:val="24"/>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pStyle w:val="Nivel2"/>
        <w:numPr>
          <w:ilvl w:val="1"/>
          <w:numId w:val="25"/>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rPr>
          <w:sz w:val="24"/>
          <w:szCs w:val="24"/>
          <w:rFonts w:eastAsia="Times New Roman" w:cs="Times New Roman" w:ascii="Times New Roman" w:hAnsi="Times New Roman"/>
        </w:rPr>
        <w:instrText xml:space="preserve"> HYPERLINK "http://www.planalto.gov.br/ccivil_03/_ato2019-2022/2021/lei/L14133.htm" \l "art68"</w:instrText>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 xml:space="preserve">art. 68 da Lei nº 14.133, de 2021.  </w:t>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 xml:space="preserve"> </w:t>
      </w:r>
    </w:p>
    <w:p>
      <w:pPr>
        <w:pStyle w:val="Nivel2"/>
        <w:numPr>
          <w:ilvl w:val="1"/>
          <w:numId w:val="26"/>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Nivel2"/>
        <w:numPr>
          <w:ilvl w:val="1"/>
          <w:numId w:val="27"/>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Nivel2"/>
        <w:numPr>
          <w:ilvl w:val="1"/>
          <w:numId w:val="28"/>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Persistindo a irregularidade, o contratante deverá adotar as medidas necessárias à rescisão contratual nos autos do processo administrativo correspondente, assegurada ao contratado a ampla defesa. </w:t>
      </w:r>
    </w:p>
    <w:p>
      <w:pPr>
        <w:pStyle w:val="Nivel2"/>
        <w:numPr>
          <w:ilvl w:val="1"/>
          <w:numId w:val="29"/>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Havendo a efetiva execução do objeto, os pagamentos serão realizados normalmente, até que se decida pela rescisão do contrato, caso o contratado não regularize sua situação junto ao SICAF do municío.  </w:t>
      </w:r>
    </w:p>
    <w:p>
      <w:pPr>
        <w:pStyle w:val="Nvel1-SemNum"/>
        <w:spacing w:lineRule="auto" w:line="312" w:before="120" w:after="288"/>
        <w:ind w:hanging="0" w:left="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Prazo de pagamento</w:t>
      </w:r>
    </w:p>
    <w:p>
      <w:pPr>
        <w:pStyle w:val="Nivel2"/>
        <w:numPr>
          <w:ilvl w:val="1"/>
          <w:numId w:val="30"/>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 pagamento será efetuado no prazo de até 30 (trinta) dias contados da finalização da liquidação da despesa, conforme seção anterior.</w:t>
      </w:r>
    </w:p>
    <w:p>
      <w:pPr>
        <w:pStyle w:val="Nivel2"/>
        <w:numPr>
          <w:ilvl w:val="1"/>
          <w:numId w:val="31"/>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No caso de atraso pelo Contratante, os valores devidos ao contratado serão atualizados monetariamente entre o termo final do prazo de pagamento até a data de sua efetiva realização, mediante aplicação do índice XXXX de correção monetária.</w:t>
      </w:r>
    </w:p>
    <w:p>
      <w:pPr>
        <w:pStyle w:val="Nvel1-SemNum"/>
        <w:spacing w:lineRule="auto" w:line="312" w:before="120" w:after="288"/>
        <w:ind w:hanging="0" w:left="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Forma de pagamento</w:t>
      </w:r>
    </w:p>
    <w:p>
      <w:pPr>
        <w:pStyle w:val="Nivel2"/>
        <w:numPr>
          <w:ilvl w:val="1"/>
          <w:numId w:val="32"/>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 pagamento será realizado por meio de ordem bancária, para crédito em banco, agência e conta corrente indicados pelo contratado.</w:t>
      </w:r>
    </w:p>
    <w:p>
      <w:pPr>
        <w:pStyle w:val="Nivel2"/>
        <w:numPr>
          <w:ilvl w:val="1"/>
          <w:numId w:val="33"/>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Será considerada data do pagamento o dia em que constar como emitida a ordem bancária para pagamento.</w:t>
      </w:r>
    </w:p>
    <w:p>
      <w:pPr>
        <w:pStyle w:val="Nivel2"/>
        <w:numPr>
          <w:ilvl w:val="1"/>
          <w:numId w:val="34"/>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Quando do pagamento, será efetuada a retenção tributária prevista na legislação aplicável.</w:t>
      </w:r>
    </w:p>
    <w:p>
      <w:pPr>
        <w:pStyle w:val="Nivel3"/>
        <w:numPr>
          <w:ilvl w:val="2"/>
          <w:numId w:val="35"/>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Independentemente do percentual de tributo inserido na planilha, quando houver, serão retidos na fonte, quando da realização do pagamento, os percentuais estabelecidos na legislação vigente.</w:t>
      </w:r>
    </w:p>
    <w:p>
      <w:pPr>
        <w:pStyle w:val="Nivel2"/>
        <w:numPr>
          <w:ilvl w:val="1"/>
          <w:numId w:val="36"/>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 contratado regularmente optante pelo Simples Nacional, nos termos da </w:t>
      </w:r>
      <w:hyperlink r:id="rId2">
        <w:r>
          <w:rPr>
            <w:rFonts w:eastAsia="Times New Roman" w:cs="Times New Roman" w:ascii="Times New Roman" w:hAnsi="Times New Roman"/>
            <w:sz w:val="24"/>
            <w:szCs w:val="24"/>
          </w:rPr>
          <w:t>Lei Complementar nº 123, de 2006</w:t>
        </w:r>
      </w:hyperlink>
      <w:r>
        <w:rPr>
          <w:rFonts w:eastAsia="Times New Roman" w:cs="Times New Roman" w:ascii="Times New Roman" w:hAnsi="Times New Roman"/>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shd w:color="auto" w:fill="244061" w:themeFill="accent1" w:themeFillShade="80" w:val="clear"/>
          </w:tcPr>
          <w:p>
            <w:pPr>
              <w:pStyle w:val="Normal"/>
              <w:widowControl/>
              <w:spacing w:before="0" w:after="0"/>
              <w:rPr>
                <w:rFonts w:ascii="Times New Roman" w:hAnsi="Times New Roman" w:eastAsia="Times New Roman"/>
                <w:b/>
                <w:bCs/>
                <w:color w:themeColor="background1" w:val="FFFFFF"/>
                <w:sz w:val="24"/>
                <w:szCs w:val="24"/>
                <w:lang w:eastAsia="pt-BR"/>
              </w:rPr>
            </w:pPr>
            <w:r>
              <w:rPr>
                <w:rFonts w:eastAsia="Times New Roman" w:ascii="Times New Roman" w:hAnsi="Times New Roman"/>
                <w:color w:val="000000"/>
                <w:kern w:val="0"/>
                <w:sz w:val="24"/>
                <w:szCs w:val="24"/>
                <w:lang w:val="pt-BR" w:eastAsia="en-US" w:bidi="ar-SA"/>
              </w:rPr>
              <w:tab/>
            </w:r>
            <w:r>
              <w:rPr>
                <w:rFonts w:eastAsia="Times New Roman" w:ascii="Times New Roman" w:hAnsi="Times New Roman"/>
                <w:b/>
                <w:bCs/>
                <w:color w:themeColor="background1" w:val="FFFFFF"/>
                <w:kern w:val="0"/>
                <w:sz w:val="24"/>
                <w:szCs w:val="24"/>
                <w:lang w:val="pt-BR" w:eastAsia="pt-BR" w:bidi="ar-SA"/>
              </w:rPr>
              <w:t xml:space="preserve">8 – FORMA E CRITÉRIOS DE SELEÇÃO DO FORNECEDOR </w:t>
            </w:r>
          </w:p>
        </w:tc>
      </w:tr>
    </w:tbl>
    <w:p>
      <w:pPr>
        <w:pStyle w:val="Normal"/>
        <w:spacing w:lineRule="auto" w:line="240"/>
        <w:rPr>
          <w:rFonts w:ascii="Times New Roman" w:hAnsi="Times New Roman" w:eastAsia="Times New Roman"/>
          <w:color w:val="000000"/>
          <w:sz w:val="24"/>
          <w:szCs w:val="24"/>
          <w:lang w:eastAsia="pt-BR"/>
        </w:rPr>
      </w:pPr>
      <w:r>
        <w:rPr>
          <w:rFonts w:eastAsia="Times New Roman" w:ascii="Times New Roman" w:hAnsi="Times New Roman"/>
          <w:color w:val="000000"/>
          <w:sz w:val="24"/>
          <w:szCs w:val="24"/>
          <w:lang w:eastAsia="pt-BR"/>
        </w:rPr>
      </w:r>
    </w:p>
    <w:p>
      <w:pPr>
        <w:pStyle w:val="ListParagraph"/>
        <w:keepNext w:val="true"/>
        <w:keepLines/>
        <w:numPr>
          <w:ilvl w:val="0"/>
          <w:numId w:val="37"/>
        </w:numPr>
        <w:tabs>
          <w:tab w:val="clear" w:pos="708"/>
          <w:tab w:val="left" w:pos="567" w:leader="none"/>
        </w:tabs>
        <w:spacing w:before="240" w:after="0"/>
        <w:jc w:val="both"/>
        <w:outlineLvl w:val="0"/>
        <w:rPr>
          <w:b/>
          <w:bCs/>
          <w:vanish/>
        </w:rPr>
      </w:pPr>
      <w:r>
        <w:rPr>
          <w:b/>
          <w:bCs/>
          <w:vanish/>
        </w:rPr>
      </w:r>
    </w:p>
    <w:p>
      <w:pPr>
        <w:pStyle w:val="Nivel2"/>
        <w:numPr>
          <w:ilvl w:val="0"/>
          <w:numId w:val="0"/>
        </w:numPr>
        <w:ind w:firstLine="708" w:left="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Forma de seleção e critério de julgamento da proposta</w:t>
      </w:r>
    </w:p>
    <w:p>
      <w:pPr>
        <w:pStyle w:val="Nivel2"/>
        <w:numPr>
          <w:ilvl w:val="1"/>
          <w:numId w:val="38"/>
        </w:numPr>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 fornecedor será selecionado por meio da realização de procedimento de LICITAÇÃO, na modalidade PREGÃO, sob a forma ELETRÔNICA, com adoção do critério de julgamento pelo [MENOR PREÇO] OU [MAIOR DESCONTO].</w:t>
      </w:r>
    </w:p>
    <w:p>
      <w:pPr>
        <w:pStyle w:val="Nivel2"/>
        <w:numPr>
          <w:ilvl w:val="0"/>
          <w:numId w:val="0"/>
        </w:numPr>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spacing w:lineRule="auto" w:line="276" w:before="120" w:after="120"/>
        <w:ind w:firstLine="708" w:left="0"/>
        <w:jc w:val="both"/>
        <w:rPr>
          <w:b/>
          <w:bCs/>
          <w:color w:val="000000"/>
          <w:sz w:val="24"/>
          <w:szCs w:val="24"/>
        </w:rPr>
      </w:pPr>
      <w:r>
        <w:rPr>
          <w:b/>
          <w:bCs/>
          <w:color w:val="000000"/>
          <w:sz w:val="24"/>
          <w:szCs w:val="24"/>
        </w:rPr>
        <w:t>Exigências de habilitação</w:t>
      </w:r>
    </w:p>
    <w:p>
      <w:pPr>
        <w:pStyle w:val="Nivel2"/>
        <w:numPr>
          <w:ilvl w:val="1"/>
          <w:numId w:val="39"/>
        </w:numPr>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Para fins de habilitação, deverá o licitante comprovar os seguintes requisitos:</w:t>
      </w:r>
    </w:p>
    <w:p>
      <w:pPr>
        <w:pStyle w:val="Nivel2"/>
        <w:numPr>
          <w:ilvl w:val="0"/>
          <w:numId w:val="0"/>
        </w:numPr>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vel1-SemNum"/>
        <w:spacing w:lineRule="auto" w:line="312" w:before="120" w:after="288"/>
        <w:ind w:hanging="0" w:left="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Habilitação jurídica</w:t>
      </w:r>
    </w:p>
    <w:p>
      <w:pPr>
        <w:pStyle w:val="Nivel2"/>
        <w:numPr>
          <w:ilvl w:val="1"/>
          <w:numId w:val="40"/>
        </w:numPr>
        <w:spacing w:lineRule="auto" w:line="312" w:before="120" w:after="288"/>
        <w:ind w:hanging="0" w:left="0"/>
        <w:rPr>
          <w:rFonts w:ascii="Times New Roman" w:hAnsi="Times New Roman" w:eastAsia="Times New Roman" w:cs="Times New Roman"/>
          <w:sz w:val="24"/>
          <w:szCs w:val="24"/>
        </w:rPr>
      </w:pPr>
      <w:bookmarkStart w:id="0" w:name="_Ref115800561"/>
      <w:r>
        <w:rPr>
          <w:rFonts w:eastAsia="Times New Roman" w:cs="Times New Roman" w:ascii="Times New Roman" w:hAnsi="Times New Roman"/>
          <w:sz w:val="24"/>
          <w:szCs w:val="24"/>
        </w:rPr>
        <w:t>Pessoa física: cédula de identidade (RG) ou documento equivalente que, por força de lei, tenha validade para fins de identificação em todo o território nacional;</w:t>
      </w:r>
      <w:bookmarkEnd w:id="0"/>
    </w:p>
    <w:p>
      <w:pPr>
        <w:pStyle w:val="Nivel2"/>
        <w:numPr>
          <w:ilvl w:val="1"/>
          <w:numId w:val="41"/>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Empresário individual: inscrição no Registro Público de Empresas Mercantis, a cargo da Junta Comercial da respectiva sede; </w:t>
      </w:r>
    </w:p>
    <w:p>
      <w:pPr>
        <w:pStyle w:val="Nivel2"/>
        <w:numPr>
          <w:ilvl w:val="1"/>
          <w:numId w:val="42"/>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Microempreendedor Individual - MEI: Certificado da Condição de Microempreendedor Individual - CCMEI, cuja aceitação ficará condicionada à verificação da autenticidade no sítio </w:t>
      </w:r>
      <w:hyperlink r:id="rId3">
        <w:r>
          <w:rPr>
            <w:rFonts w:eastAsia="Times New Roman" w:cs="Times New Roman" w:ascii="Times New Roman" w:hAnsi="Times New Roman"/>
            <w:sz w:val="24"/>
            <w:szCs w:val="24"/>
          </w:rPr>
          <w:t>https://www.gov.br/empresas-e-negocios/pt-br/empreendedor</w:t>
        </w:r>
      </w:hyperlink>
      <w:r>
        <w:rPr>
          <w:rFonts w:eastAsia="Times New Roman" w:cs="Times New Roman" w:ascii="Times New Roman" w:hAnsi="Times New Roman"/>
          <w:sz w:val="24"/>
          <w:szCs w:val="24"/>
        </w:rPr>
        <w:t xml:space="preserve">; </w:t>
      </w:r>
    </w:p>
    <w:p>
      <w:pPr>
        <w:pStyle w:val="Nivel2"/>
        <w:numPr>
          <w:ilvl w:val="1"/>
          <w:numId w:val="43"/>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ivel2"/>
        <w:numPr>
          <w:ilvl w:val="1"/>
          <w:numId w:val="44"/>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
        <w:r>
          <w:rPr>
            <w:rFonts w:eastAsia="Times New Roman" w:cs="Times New Roman" w:ascii="Times New Roman" w:hAnsi="Times New Roman"/>
            <w:sz w:val="24"/>
            <w:szCs w:val="24"/>
          </w:rPr>
          <w:t>Normativa DREI/ME n.º 77, de 18 de março de 2020</w:t>
        </w:r>
      </w:hyperlink>
      <w:r>
        <w:rPr>
          <w:rFonts w:eastAsia="Times New Roman" w:cs="Times New Roman" w:ascii="Times New Roman" w:hAnsi="Times New Roman"/>
          <w:sz w:val="24"/>
          <w:szCs w:val="24"/>
        </w:rPr>
        <w:t>.</w:t>
      </w:r>
    </w:p>
    <w:p>
      <w:pPr>
        <w:pStyle w:val="Nivel2"/>
        <w:numPr>
          <w:ilvl w:val="1"/>
          <w:numId w:val="45"/>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Sociedade simples: inscrição do ato constitutivo no Registro Civil de Pessoas Jurídicas do local de sua sede, acompanhada de documento comprobatório de seus administradores;</w:t>
      </w:r>
    </w:p>
    <w:p>
      <w:pPr>
        <w:pStyle w:val="Nivel2"/>
        <w:numPr>
          <w:ilvl w:val="1"/>
          <w:numId w:val="46"/>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 w:name="_Int_ySfCXwr4"/>
      <w:r>
        <w:rPr>
          <w:rFonts w:eastAsia="Times New Roman" w:cs="Times New Roman" w:ascii="Times New Roman" w:hAnsi="Times New Roman"/>
          <w:sz w:val="24"/>
          <w:szCs w:val="24"/>
        </w:rPr>
        <w:t>Mercantis onde</w:t>
      </w:r>
      <w:bookmarkEnd w:id="1"/>
      <w:r>
        <w:rPr>
          <w:rFonts w:eastAsia="Times New Roman" w:cs="Times New Roman" w:ascii="Times New Roman" w:hAnsi="Times New Roman"/>
          <w:sz w:val="24"/>
          <w:szCs w:val="24"/>
        </w:rPr>
        <w:t xml:space="preserve"> opera, com averbação no Registro onde tem sede a matriz</w:t>
      </w:r>
    </w:p>
    <w:p>
      <w:pPr>
        <w:pStyle w:val="Nivel2"/>
        <w:numPr>
          <w:ilvl w:val="1"/>
          <w:numId w:val="47"/>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rPr>
          <w:sz w:val="24"/>
          <w:szCs w:val="24"/>
          <w:rFonts w:eastAsia="Times New Roman" w:cs="Times New Roman" w:ascii="Times New Roman" w:hAnsi="Times New Roman"/>
        </w:rPr>
        <w:instrText xml:space="preserve"> HYPERLINK "https://www.planalto.gov.br/ccivil_03/leis/l5764.htm" \l "art107"</w:instrText>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art. 107 da Lei nº 5.764, de 16 de dezembro 1971</w:t>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w:t>
      </w:r>
    </w:p>
    <w:p>
      <w:pPr>
        <w:pStyle w:val="Nivel2"/>
        <w:numPr>
          <w:ilvl w:val="1"/>
          <w:numId w:val="48"/>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Agricultor familiar: Declaração de Aptidão ao Pronaf – DAP ou DAP-P válida, ou, ainda, outros documentos definidos pela Secretaria Especial de Agricultura Familiar e do Desenvolvimento Agrário, nos termos do</w:t>
      </w:r>
      <w:r>
        <w:fldChar w:fldCharType="begin"/>
      </w:r>
      <w:r>
        <w:rPr>
          <w:sz w:val="24"/>
          <w:szCs w:val="24"/>
          <w:rFonts w:eastAsia="Times New Roman" w:cs="Times New Roman" w:ascii="Times New Roman" w:hAnsi="Times New Roman"/>
        </w:rPr>
        <w:instrText xml:space="preserve"> HYPERLINK "https://www.planalto.gov.br/ccivil_03/_ato2019-2022/2021/decreto/d10880.htm" \l "art4%C2%A72"</w:instrText>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 xml:space="preserve"> art. 4º, §2º do Decreto nº 10.880, de 2 de dezembro de 2021</w:t>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w:t>
      </w:r>
    </w:p>
    <w:p>
      <w:pPr>
        <w:pStyle w:val="Nivel2"/>
        <w:numPr>
          <w:ilvl w:val="1"/>
          <w:numId w:val="49"/>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Produtor Rural: matrícula no Cadastro Específico do INSS – CEI, que comprove a qualificação como produtor rural pessoa física, nos termos da </w:t>
      </w:r>
      <w:hyperlink r:id="rId5">
        <w:r>
          <w:rPr>
            <w:rFonts w:eastAsia="Times New Roman" w:cs="Times New Roman" w:ascii="Times New Roman" w:hAnsi="Times New Roman"/>
            <w:sz w:val="24"/>
            <w:szCs w:val="24"/>
          </w:rPr>
          <w:t>Instrução Normativa RFB n. 971, de 13 de novembro de 2009</w:t>
        </w:r>
      </w:hyperlink>
      <w:r>
        <w:rPr>
          <w:rFonts w:eastAsia="Times New Roman" w:cs="Times New Roman" w:ascii="Times New Roman" w:hAnsi="Times New Roman"/>
          <w:sz w:val="24"/>
          <w:szCs w:val="24"/>
        </w:rPr>
        <w:t xml:space="preserve"> (arts. 17 a 19 e 165).</w:t>
      </w:r>
    </w:p>
    <w:p>
      <w:pPr>
        <w:pStyle w:val="Nvel2-Red"/>
        <w:numPr>
          <w:ilvl w:val="1"/>
          <w:numId w:val="50"/>
        </w:numPr>
        <w:spacing w:lineRule="auto" w:line="312" w:before="120" w:after="288"/>
        <w:ind w:hanging="0" w:left="0"/>
        <w:rPr>
          <w:rFonts w:ascii="Times New Roman" w:hAnsi="Times New Roman" w:eastAsia="Times New Roman" w:cs="Times New Roman"/>
          <w:i w:val="false"/>
          <w:i w:val="false"/>
          <w:iCs w:val="false"/>
          <w:color w:val="000000"/>
          <w:sz w:val="24"/>
          <w:szCs w:val="24"/>
        </w:rPr>
      </w:pPr>
      <w:r>
        <w:rPr>
          <w:rFonts w:eastAsia="Times New Roman" w:cs="Times New Roman" w:ascii="Times New Roman" w:hAnsi="Times New Roman"/>
          <w:i w:val="false"/>
          <w:iCs w:val="false"/>
          <w:color w:val="000000"/>
          <w:sz w:val="24"/>
          <w:szCs w:val="24"/>
        </w:rPr>
        <w:t>Ato de autorização para o exercício da atividade de ............ (especificar a atividade contratada sujeita à autorização), expedido por ....... (especificar o órgão competente) nos termos do art. ..... da (Lei/Decreto) n° ........</w:t>
      </w:r>
    </w:p>
    <w:p>
      <w:pPr>
        <w:pStyle w:val="Nivel2"/>
        <w:numPr>
          <w:ilvl w:val="1"/>
          <w:numId w:val="51"/>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Os documentos apresentados deverão estar acompanhados de todas as alterações ou da consolidação respectiva.</w:t>
      </w:r>
    </w:p>
    <w:p>
      <w:pPr>
        <w:pStyle w:val="Nvel1-SemNum"/>
        <w:spacing w:lineRule="auto" w:line="312" w:before="120" w:after="288"/>
        <w:ind w:hanging="0" w:left="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Habilitação fiscal, social e trabalhista</w:t>
      </w:r>
    </w:p>
    <w:p>
      <w:pPr>
        <w:pStyle w:val="Nivel2"/>
        <w:numPr>
          <w:ilvl w:val="1"/>
          <w:numId w:val="52"/>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Prova de inscrição no Cadastro Nacional de Pessoas Jurídicas ou no Cadastro de Pessoas Físicas, conforme o caso;</w:t>
      </w:r>
    </w:p>
    <w:p>
      <w:pPr>
        <w:pStyle w:val="Nivel2"/>
        <w:numPr>
          <w:ilvl w:val="1"/>
          <w:numId w:val="53"/>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ivel2"/>
        <w:numPr>
          <w:ilvl w:val="1"/>
          <w:numId w:val="54"/>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Prova de regularidade com o Fundo de Garantia do Tempo de Serviço (FGTS);</w:t>
      </w:r>
    </w:p>
    <w:p>
      <w:pPr>
        <w:pStyle w:val="Nivel2"/>
        <w:numPr>
          <w:ilvl w:val="1"/>
          <w:numId w:val="55"/>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ivel2"/>
        <w:numPr>
          <w:ilvl w:val="1"/>
          <w:numId w:val="56"/>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Prova de regularidade com a Fazenda [Estadual/Distrital] ou [Municipal/Distrital] do domicílio ou sede do fornecedor, relativa à atividade em cujo exercício contrata ou concorre;</w:t>
      </w:r>
    </w:p>
    <w:p>
      <w:pPr>
        <w:pStyle w:val="Nivel2"/>
        <w:numPr>
          <w:ilvl w:val="1"/>
          <w:numId w:val="57"/>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pPr>
        <w:pStyle w:val="Nivel2"/>
        <w:numPr>
          <w:ilvl w:val="1"/>
          <w:numId w:val="58"/>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Nvel1-SemNum"/>
        <w:spacing w:lineRule="auto" w:line="312" w:before="120" w:after="288"/>
        <w:ind w:hanging="0" w:left="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Qualificação Econômico-Financeira</w:t>
      </w:r>
    </w:p>
    <w:p>
      <w:pPr>
        <w:pStyle w:val="Nivel2"/>
        <w:numPr>
          <w:ilvl w:val="1"/>
          <w:numId w:val="59"/>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Certidão negativa de insolvência civil expedida pelo distribuidor do domicílio ou sede do licitante, </w:t>
      </w:r>
      <w:r>
        <w:rPr>
          <w:rFonts w:eastAsia="Times New Roman" w:cs="Times New Roman" w:ascii="Times New Roman" w:hAnsi="Times New Roman"/>
          <w:b/>
          <w:bCs/>
          <w:sz w:val="24"/>
          <w:szCs w:val="24"/>
          <w:u w:val="single"/>
        </w:rPr>
        <w:t>caso se trate de pessoa física</w:t>
      </w:r>
      <w:r>
        <w:rPr>
          <w:rFonts w:eastAsia="Times New Roman" w:cs="Times New Roman" w:ascii="Times New Roman" w:hAnsi="Times New Roman"/>
          <w:sz w:val="24"/>
          <w:szCs w:val="24"/>
        </w:rPr>
        <w:t>, desde que admitida a sua participação na licitação (</w:t>
      </w:r>
      <w:r>
        <w:fldChar w:fldCharType="begin"/>
      </w:r>
      <w:r>
        <w:rPr>
          <w:sz w:val="24"/>
          <w:szCs w:val="24"/>
          <w:rFonts w:eastAsia="Times New Roman" w:cs="Times New Roman" w:ascii="Times New Roman" w:hAnsi="Times New Roman"/>
        </w:rPr>
        <w:instrText xml:space="preserve"> HYPERLINK "https://www.gov.br/compras/pt-br/acesso-a-informacao/legislacao/instrucoes-normativas/instrucao-normativa-seges-me-no-116-de-21-de-dezembro-de-2021" \l "art5"</w:instrText>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art. 5º, inciso II, alínea “c”, da Instrução Normativa Seges/ME nº 116, de 2021</w:t>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 xml:space="preserve">), ou de sociedade simples; </w:t>
      </w:r>
    </w:p>
    <w:p>
      <w:pPr>
        <w:pStyle w:val="Nivel2"/>
        <w:numPr>
          <w:ilvl w:val="1"/>
          <w:numId w:val="60"/>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Certidão negativa de falência expedida pelo distribuidor da sede do fornecedor - </w:t>
      </w:r>
      <w:r>
        <w:fldChar w:fldCharType="begin"/>
      </w:r>
      <w:r>
        <w:rPr>
          <w:sz w:val="24"/>
          <w:szCs w:val="24"/>
          <w:rFonts w:eastAsia="Times New Roman" w:cs="Times New Roman" w:ascii="Times New Roman" w:hAnsi="Times New Roman"/>
        </w:rPr>
        <w:instrText xml:space="preserve"> HYPERLINK "http://www.planalto.gov.br/ccivil_03/_ato2019-2022/2021/lei/L14133.htm" \l "art69"</w:instrText>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Lei nº 14.133, de 2021, art. 69, caput, inciso II</w:t>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w:t>
      </w:r>
    </w:p>
    <w:p>
      <w:pPr>
        <w:pStyle w:val="Nivel2"/>
        <w:numPr>
          <w:ilvl w:val="1"/>
          <w:numId w:val="61"/>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pPr>
        <w:pStyle w:val="Nivel2"/>
        <w:numPr>
          <w:ilvl w:val="0"/>
          <w:numId w:val="0"/>
        </w:numPr>
        <w:spacing w:lineRule="auto" w:line="312" w:before="120" w:after="288"/>
        <w:ind w:hanging="0" w:left="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I - Liquidez Geral (LG) = (Ativo Circulante + Realizável a Longo Prazo )/( Passivo Circulante + Passivo Não Circulante);</w:t>
      </w:r>
    </w:p>
    <w:p>
      <w:pPr>
        <w:pStyle w:val="Nivel3"/>
        <w:numPr>
          <w:ilvl w:val="0"/>
          <w:numId w:val="0"/>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II - Solvência Geral (SG)= (Ativo Total)/(Passivo Circulante +Passivo não Circulante); e</w:t>
      </w:r>
    </w:p>
    <w:p>
      <w:pPr>
        <w:pStyle w:val="Nivel3"/>
        <w:numPr>
          <w:ilvl w:val="0"/>
          <w:numId w:val="0"/>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III - Liquidez Corrente (LC) = (Ativo Circulante)/(Passivo Circulante).</w:t>
      </w:r>
    </w:p>
    <w:p>
      <w:pPr>
        <w:pStyle w:val="Nivel2"/>
        <w:numPr>
          <w:ilvl w:val="1"/>
          <w:numId w:val="62"/>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Caso a empresa licitante apresente resultado inferior ou igual a 1 (um) em qualquer dos índices de Liquidez Geral (LG), Solvência Geral (SG) e Liquidez Corrente (LC), será exigido para fins de habilitação [capital mínimo] OU [patrimônio líquido mínimo] de ......% [até 10%] do [valor total estimado da contratação] OU [valor total estimado da parcela pertinente].</w:t>
      </w:r>
    </w:p>
    <w:p>
      <w:pPr>
        <w:pStyle w:val="Nivel2"/>
        <w:numPr>
          <w:ilvl w:val="1"/>
          <w:numId w:val="63"/>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Nivel2"/>
        <w:numPr>
          <w:ilvl w:val="1"/>
          <w:numId w:val="64"/>
        </w:numPr>
        <w:spacing w:lineRule="auto" w:line="312" w:before="120" w:after="288"/>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 balanço patrimonial, demonstração de resultado de exercício e demais demonstrações contábeis limitar-se-ão ao último exercício no caso de a pessoa jurídica ter sido constituída há menos de 2 (dois) anos. (Lei nº 14.133, de 2021, art. 69, §6º)</w:t>
      </w:r>
    </w:p>
    <w:p>
      <w:pPr>
        <w:pStyle w:val="Nvel2-Red"/>
        <w:numPr>
          <w:ilvl w:val="1"/>
          <w:numId w:val="65"/>
        </w:numPr>
        <w:spacing w:lineRule="auto" w:line="312" w:before="120" w:after="288"/>
        <w:ind w:hanging="0" w:left="0"/>
        <w:rPr>
          <w:rFonts w:ascii="Times New Roman" w:hAnsi="Times New Roman" w:eastAsia="Times New Roman" w:cs="Times New Roman"/>
          <w:i w:val="false"/>
          <w:i w:val="false"/>
          <w:iCs w:val="false"/>
          <w:color w:val="000000"/>
          <w:sz w:val="24"/>
          <w:szCs w:val="24"/>
        </w:rPr>
      </w:pPr>
      <w:r>
        <w:rPr>
          <w:rFonts w:eastAsia="Times New Roman" w:cs="Times New Roman" w:ascii="Times New Roman" w:hAnsi="Times New Roman"/>
          <w:i w:val="false"/>
          <w:iCs w:val="false"/>
          <w:color w:val="000000"/>
          <w:sz w:val="24"/>
          <w:szCs w:val="24"/>
        </w:rPr>
        <w:t>O atendimento dos índices econômicos previstos neste item deverá ser atestado mediante declaração assinada por profissional habilitado da área contábil, apresentada pelo fornecedor.</w:t>
      </w:r>
    </w:p>
    <w:p>
      <w:pPr>
        <w:pStyle w:val="Nvel1-SemNum"/>
        <w:spacing w:lineRule="auto" w:line="312" w:before="120" w:after="288"/>
        <w:ind w:hanging="0" w:left="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Qualificação Técnica</w:t>
      </w:r>
    </w:p>
    <w:p>
      <w:pPr>
        <w:pStyle w:val="Nvel2-Red"/>
        <w:numPr>
          <w:ilvl w:val="1"/>
          <w:numId w:val="66"/>
        </w:numPr>
        <w:spacing w:lineRule="auto" w:line="312" w:before="120" w:after="288"/>
        <w:ind w:hanging="0" w:left="0"/>
        <w:rPr>
          <w:rFonts w:ascii="Times New Roman" w:hAnsi="Times New Roman" w:eastAsia="Times New Roman" w:cs="Times New Roman"/>
          <w:i w:val="false"/>
          <w:i w:val="false"/>
          <w:iCs w:val="false"/>
          <w:color w:val="000000"/>
          <w:sz w:val="24"/>
          <w:szCs w:val="24"/>
        </w:rPr>
      </w:pPr>
      <w:r>
        <w:rPr>
          <w:rFonts w:eastAsia="Times New Roman" w:cs="Times New Roman" w:ascii="Times New Roman" w:hAnsi="Times New Roman"/>
          <w:i w:val="false"/>
          <w:iCs w:val="false"/>
          <w:color w:val="000000"/>
          <w:sz w:val="24"/>
          <w:szCs w:val="24"/>
        </w:rPr>
        <w:t>Registro ou inscrição da empresa na entidade profissional .........(escrever por extenso, se o caso), em plena validade;</w:t>
      </w:r>
    </w:p>
    <w:p>
      <w:pPr>
        <w:pStyle w:val="Nvel2-Red"/>
        <w:numPr>
          <w:ilvl w:val="1"/>
          <w:numId w:val="67"/>
        </w:numPr>
        <w:spacing w:lineRule="auto" w:line="312" w:before="120" w:after="288"/>
        <w:ind w:hanging="0" w:left="0"/>
        <w:rPr>
          <w:rFonts w:ascii="Times New Roman" w:hAnsi="Times New Roman" w:eastAsia="Times New Roman" w:cs="Times New Roman"/>
          <w:i w:val="false"/>
          <w:i w:val="false"/>
          <w:iCs w:val="false"/>
          <w:color w:val="000000"/>
          <w:sz w:val="24"/>
          <w:szCs w:val="24"/>
        </w:rPr>
      </w:pPr>
      <w:r>
        <w:rPr>
          <w:rFonts w:eastAsia="Times New Roman" w:cs="Times New Roman" w:ascii="Times New Roman" w:hAnsi="Times New Roman"/>
          <w:i w:val="false"/>
          <w:iCs w:val="false"/>
          <w:color w:val="000000"/>
          <w:sz w:val="24"/>
          <w:szCs w:val="24"/>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Nvel3-R"/>
        <w:numPr>
          <w:ilvl w:val="2"/>
          <w:numId w:val="68"/>
        </w:numPr>
        <w:spacing w:lineRule="auto" w:line="312" w:before="120" w:after="288"/>
        <w:ind w:hanging="0" w:left="0"/>
        <w:rPr>
          <w:rFonts w:ascii="Times New Roman" w:hAnsi="Times New Roman" w:eastAsia="Times New Roman" w:cs="Times New Roman"/>
          <w:i w:val="false"/>
          <w:i w:val="false"/>
          <w:iCs w:val="false"/>
          <w:color w:val="000000"/>
          <w:sz w:val="24"/>
          <w:szCs w:val="24"/>
        </w:rPr>
      </w:pPr>
      <w:r>
        <w:rPr>
          <w:rFonts w:eastAsia="Times New Roman" w:cs="Times New Roman" w:ascii="Times New Roman" w:hAnsi="Times New Roman"/>
          <w:i w:val="false"/>
          <w:iCs w:val="false"/>
          <w:color w:val="000000"/>
          <w:sz w:val="24"/>
          <w:szCs w:val="24"/>
        </w:rPr>
        <w:t>Os atestados de capacidade técnica poderão ser apresentados em nome da matriz ou da filial do fornecedor.</w:t>
      </w:r>
    </w:p>
    <w:p>
      <w:pPr>
        <w:pStyle w:val="Nvel3-R"/>
        <w:numPr>
          <w:ilvl w:val="2"/>
          <w:numId w:val="69"/>
        </w:numPr>
        <w:spacing w:lineRule="auto" w:line="312" w:before="120" w:after="288"/>
        <w:ind w:hanging="0" w:left="0"/>
        <w:rPr>
          <w:rFonts w:ascii="Times New Roman" w:hAnsi="Times New Roman" w:eastAsia="Times New Roman" w:cs="Times New Roman"/>
          <w:i w:val="false"/>
          <w:i w:val="false"/>
          <w:iCs w:val="false"/>
          <w:color w:val="000000"/>
          <w:sz w:val="24"/>
          <w:szCs w:val="24"/>
        </w:rPr>
      </w:pPr>
      <w:r>
        <w:rPr>
          <w:rFonts w:eastAsia="Times New Roman" w:cs="Times New Roman" w:ascii="Times New Roman" w:hAnsi="Times New Roman"/>
          <w:i w:val="false"/>
          <w:iCs w:val="false"/>
          <w:color w:val="000000"/>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Nvel3-R"/>
        <w:numPr>
          <w:ilvl w:val="2"/>
          <w:numId w:val="70"/>
        </w:numPr>
        <w:spacing w:lineRule="auto" w:line="312" w:before="120" w:after="288"/>
        <w:ind w:hanging="0" w:left="0"/>
        <w:rPr>
          <w:rFonts w:ascii="Times New Roman" w:hAnsi="Times New Roman" w:eastAsia="Times New Roman" w:cs="Times New Roman"/>
          <w:i w:val="false"/>
          <w:i w:val="false"/>
          <w:iCs w:val="false"/>
          <w:color w:val="000000"/>
          <w:sz w:val="24"/>
          <w:szCs w:val="24"/>
        </w:rPr>
      </w:pPr>
      <w:r>
        <w:rPr>
          <w:rFonts w:eastAsia="Times New Roman" w:cs="Times New Roman" w:ascii="Times New Roman" w:hAnsi="Times New Roman"/>
          <w:i w:val="false"/>
          <w:iCs w:val="false"/>
          <w:color w:val="000000"/>
          <w:sz w:val="24"/>
          <w:szCs w:val="24"/>
        </w:rPr>
        <w:t xml:space="preserve">Prova de atendimento aos requisitos ........, previstos na lei ............: </w:t>
      </w:r>
    </w:p>
    <w:p>
      <w:pPr>
        <w:pStyle w:val="Nivel2"/>
        <w:numPr>
          <w:ilvl w:val="1"/>
          <w:numId w:val="71"/>
        </w:numPr>
        <w:spacing w:lineRule="auto" w:line="312" w:before="120" w:after="288"/>
        <w:ind w:hanging="0" w:left="0"/>
        <w:rPr>
          <w:rFonts w:ascii="Times New Roman" w:hAnsi="Times New Roman" w:eastAsia="Times New Roman" w:cs="Times New Roman"/>
          <w:color w:val="0070C0"/>
          <w:sz w:val="24"/>
          <w:szCs w:val="24"/>
        </w:rPr>
      </w:pPr>
      <w:r>
        <w:rPr>
          <w:rFonts w:eastAsia="Times New Roman" w:cs="Times New Roman" w:ascii="Times New Roman" w:hAnsi="Times New Roman"/>
          <w:color w:val="0070C0"/>
          <w:sz w:val="24"/>
          <w:szCs w:val="24"/>
        </w:rPr>
        <w:t>Caso admitida a participação de cooperativas, será exigida a seguinte documentação complementar:</w:t>
      </w:r>
    </w:p>
    <w:p>
      <w:pPr>
        <w:pStyle w:val="Nivel3"/>
        <w:numPr>
          <w:ilvl w:val="2"/>
          <w:numId w:val="72"/>
        </w:numPr>
        <w:spacing w:lineRule="auto" w:line="312" w:before="120" w:after="288"/>
        <w:ind w:hanging="0" w:left="0"/>
        <w:rPr>
          <w:rFonts w:ascii="Times New Roman" w:hAnsi="Times New Roman" w:eastAsia="Times New Roman" w:cs="Times New Roman"/>
          <w:color w:val="0070C0"/>
          <w:sz w:val="24"/>
          <w:szCs w:val="24"/>
        </w:rPr>
      </w:pPr>
      <w:r>
        <w:rPr>
          <w:rFonts w:eastAsia="Times New Roman" w:cs="Times New Roman" w:ascii="Times New Roman" w:hAnsi="Times New Roman"/>
          <w:color w:val="0070C0"/>
          <w:sz w:val="24"/>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rPr>
          <w:sz w:val="24"/>
          <w:szCs w:val="24"/>
          <w:rFonts w:eastAsia="Times New Roman" w:cs="Times New Roman" w:ascii="Times New Roman" w:hAnsi="Times New Roman"/>
          <w:color w:val="0070C0"/>
        </w:rPr>
        <w:instrText xml:space="preserve"> HYPERLINK "https://www.planalto.gov.br/ccivil_03/leis/l5764.htm" \l "art4"</w:instrText>
      </w:r>
      <w:r>
        <w:rPr>
          <w:sz w:val="24"/>
          <w:szCs w:val="24"/>
          <w:rFonts w:eastAsia="Times New Roman" w:cs="Times New Roman" w:ascii="Times New Roman" w:hAnsi="Times New Roman"/>
          <w:color w:val="0070C0"/>
        </w:rPr>
        <w:fldChar w:fldCharType="separate"/>
      </w:r>
      <w:r>
        <w:rPr>
          <w:rFonts w:eastAsia="Times New Roman" w:cs="Times New Roman" w:ascii="Times New Roman" w:hAnsi="Times New Roman"/>
          <w:color w:val="0070C0"/>
          <w:sz w:val="24"/>
          <w:szCs w:val="24"/>
        </w:rPr>
        <w:t>arts. 4º, inciso XI, 21, inciso I</w:t>
      </w:r>
      <w:r>
        <w:rPr>
          <w:sz w:val="24"/>
          <w:szCs w:val="24"/>
          <w:rFonts w:eastAsia="Times New Roman" w:cs="Times New Roman" w:ascii="Times New Roman" w:hAnsi="Times New Roman"/>
          <w:color w:val="0070C0"/>
        </w:rPr>
        <w:fldChar w:fldCharType="end"/>
      </w:r>
      <w:r>
        <w:rPr>
          <w:rFonts w:eastAsia="Times New Roman" w:cs="Times New Roman" w:ascii="Times New Roman" w:hAnsi="Times New Roman"/>
          <w:color w:val="0070C0"/>
          <w:sz w:val="24"/>
          <w:szCs w:val="24"/>
        </w:rPr>
        <w:t xml:space="preserve"> e </w:t>
      </w:r>
      <w:r>
        <w:fldChar w:fldCharType="begin"/>
      </w:r>
      <w:r>
        <w:rPr>
          <w:sz w:val="24"/>
          <w:szCs w:val="24"/>
          <w:rFonts w:eastAsia="Times New Roman" w:cs="Times New Roman" w:ascii="Times New Roman" w:hAnsi="Times New Roman"/>
          <w:color w:val="0070C0"/>
        </w:rPr>
        <w:instrText xml:space="preserve"> HYPERLINK "https://www.planalto.gov.br/ccivil_03/leis/l5764.htm" \l "art42"</w:instrText>
      </w:r>
      <w:r>
        <w:rPr>
          <w:sz w:val="24"/>
          <w:szCs w:val="24"/>
          <w:rFonts w:eastAsia="Times New Roman" w:cs="Times New Roman" w:ascii="Times New Roman" w:hAnsi="Times New Roman"/>
          <w:color w:val="0070C0"/>
        </w:rPr>
        <w:fldChar w:fldCharType="separate"/>
      </w:r>
      <w:r>
        <w:rPr>
          <w:rFonts w:eastAsia="Times New Roman" w:cs="Times New Roman" w:ascii="Times New Roman" w:hAnsi="Times New Roman"/>
          <w:color w:val="0070C0"/>
          <w:sz w:val="24"/>
          <w:szCs w:val="24"/>
        </w:rPr>
        <w:t>42, §§2º a 6º da Lei n. 5.764, de 1971</w:t>
      </w:r>
      <w:r>
        <w:rPr>
          <w:sz w:val="24"/>
          <w:szCs w:val="24"/>
          <w:rFonts w:eastAsia="Times New Roman" w:cs="Times New Roman" w:ascii="Times New Roman" w:hAnsi="Times New Roman"/>
          <w:color w:val="0070C0"/>
        </w:rPr>
        <w:fldChar w:fldCharType="end"/>
      </w:r>
      <w:r>
        <w:rPr>
          <w:rFonts w:eastAsia="Times New Roman" w:cs="Times New Roman" w:ascii="Times New Roman" w:hAnsi="Times New Roman"/>
          <w:color w:val="0070C0"/>
          <w:sz w:val="24"/>
          <w:szCs w:val="24"/>
        </w:rPr>
        <w:t>;</w:t>
      </w:r>
    </w:p>
    <w:p>
      <w:pPr>
        <w:pStyle w:val="Nivel3"/>
        <w:numPr>
          <w:ilvl w:val="2"/>
          <w:numId w:val="73"/>
        </w:numPr>
        <w:spacing w:lineRule="auto" w:line="312" w:before="120" w:after="288"/>
        <w:ind w:hanging="0" w:left="0"/>
        <w:rPr>
          <w:rFonts w:ascii="Times New Roman" w:hAnsi="Times New Roman" w:eastAsia="Times New Roman" w:cs="Times New Roman"/>
          <w:color w:val="0070C0"/>
          <w:sz w:val="24"/>
          <w:szCs w:val="24"/>
        </w:rPr>
      </w:pPr>
      <w:r>
        <w:rPr>
          <w:rFonts w:eastAsia="Times New Roman" w:cs="Times New Roman" w:ascii="Times New Roman" w:hAnsi="Times New Roman"/>
          <w:color w:val="0070C0"/>
          <w:sz w:val="24"/>
          <w:szCs w:val="24"/>
        </w:rPr>
        <w:t>A declaração de regularidade de situação do contribuinte individual – DRSCI, para cada um dos cooperados indicados;</w:t>
      </w:r>
    </w:p>
    <w:p>
      <w:pPr>
        <w:pStyle w:val="Nivel3"/>
        <w:numPr>
          <w:ilvl w:val="2"/>
          <w:numId w:val="74"/>
        </w:numPr>
        <w:spacing w:lineRule="auto" w:line="312" w:before="120" w:after="288"/>
        <w:ind w:hanging="0" w:left="0"/>
        <w:rPr>
          <w:rFonts w:ascii="Times New Roman" w:hAnsi="Times New Roman" w:eastAsia="Times New Roman" w:cs="Times New Roman"/>
          <w:color w:val="0070C0"/>
          <w:sz w:val="24"/>
          <w:szCs w:val="24"/>
        </w:rPr>
      </w:pPr>
      <w:r>
        <w:rPr>
          <w:rFonts w:eastAsia="Times New Roman" w:cs="Times New Roman" w:ascii="Times New Roman" w:hAnsi="Times New Roman"/>
          <w:color w:val="0070C0"/>
          <w:sz w:val="24"/>
          <w:szCs w:val="24"/>
        </w:rPr>
        <w:t xml:space="preserve">A comprovação do capital social proporcional ao número de cooperados necessários à prestação do serviço; </w:t>
      </w:r>
    </w:p>
    <w:p>
      <w:pPr>
        <w:pStyle w:val="Nivel3"/>
        <w:numPr>
          <w:ilvl w:val="2"/>
          <w:numId w:val="75"/>
        </w:numPr>
        <w:spacing w:lineRule="auto" w:line="312" w:before="120" w:after="288"/>
        <w:ind w:hanging="0" w:left="0"/>
        <w:rPr>
          <w:rFonts w:ascii="Times New Roman" w:hAnsi="Times New Roman" w:eastAsia="Times New Roman" w:cs="Times New Roman"/>
          <w:color w:val="0070C0"/>
          <w:sz w:val="24"/>
          <w:szCs w:val="24"/>
        </w:rPr>
      </w:pPr>
      <w:r>
        <w:rPr>
          <w:rFonts w:eastAsia="Times New Roman" w:cs="Times New Roman" w:ascii="Times New Roman" w:hAnsi="Times New Roman"/>
          <w:color w:val="0070C0"/>
          <w:sz w:val="24"/>
          <w:szCs w:val="24"/>
        </w:rPr>
        <w:t xml:space="preserve">O registro previsto na </w:t>
      </w:r>
      <w:r>
        <w:fldChar w:fldCharType="begin"/>
      </w:r>
      <w:r>
        <w:rPr>
          <w:sz w:val="24"/>
          <w:szCs w:val="24"/>
          <w:rFonts w:eastAsia="Times New Roman" w:cs="Times New Roman" w:ascii="Times New Roman" w:hAnsi="Times New Roman"/>
          <w:color w:val="0070C0"/>
        </w:rPr>
        <w:instrText xml:space="preserve"> HYPERLINK "https://www.planalto.gov.br/ccivil_03/leis/l5764.htm" \l "art107"</w:instrText>
      </w:r>
      <w:r>
        <w:rPr>
          <w:sz w:val="24"/>
          <w:szCs w:val="24"/>
          <w:rFonts w:eastAsia="Times New Roman" w:cs="Times New Roman" w:ascii="Times New Roman" w:hAnsi="Times New Roman"/>
          <w:color w:val="0070C0"/>
        </w:rPr>
        <w:fldChar w:fldCharType="separate"/>
      </w:r>
      <w:r>
        <w:rPr>
          <w:rFonts w:eastAsia="Times New Roman" w:cs="Times New Roman" w:ascii="Times New Roman" w:hAnsi="Times New Roman"/>
          <w:color w:val="0070C0"/>
          <w:sz w:val="24"/>
          <w:szCs w:val="24"/>
        </w:rPr>
        <w:t>Lei n. 5.764, de 1971, art. 107</w:t>
      </w:r>
      <w:r>
        <w:rPr>
          <w:sz w:val="24"/>
          <w:szCs w:val="24"/>
          <w:rFonts w:eastAsia="Times New Roman" w:cs="Times New Roman" w:ascii="Times New Roman" w:hAnsi="Times New Roman"/>
          <w:color w:val="0070C0"/>
        </w:rPr>
        <w:fldChar w:fldCharType="end"/>
      </w:r>
      <w:r>
        <w:rPr>
          <w:rFonts w:eastAsia="Times New Roman" w:cs="Times New Roman" w:ascii="Times New Roman" w:hAnsi="Times New Roman"/>
          <w:color w:val="0070C0"/>
          <w:sz w:val="24"/>
          <w:szCs w:val="24"/>
        </w:rPr>
        <w:t>;</w:t>
      </w:r>
    </w:p>
    <w:p>
      <w:pPr>
        <w:pStyle w:val="Nivel3"/>
        <w:numPr>
          <w:ilvl w:val="2"/>
          <w:numId w:val="76"/>
        </w:numPr>
        <w:spacing w:lineRule="auto" w:line="312" w:before="120" w:after="288"/>
        <w:ind w:hanging="0" w:left="0"/>
        <w:rPr>
          <w:rFonts w:ascii="Times New Roman" w:hAnsi="Times New Roman" w:eastAsia="Times New Roman" w:cs="Times New Roman"/>
          <w:color w:val="0070C0"/>
          <w:sz w:val="24"/>
          <w:szCs w:val="24"/>
        </w:rPr>
      </w:pPr>
      <w:r>
        <w:rPr>
          <w:rFonts w:eastAsia="Times New Roman" w:cs="Times New Roman" w:ascii="Times New Roman" w:hAnsi="Times New Roman"/>
          <w:color w:val="0070C0"/>
          <w:sz w:val="24"/>
          <w:szCs w:val="24"/>
        </w:rPr>
        <w:t xml:space="preserve"> </w:t>
      </w:r>
      <w:r>
        <w:rPr>
          <w:rFonts w:eastAsia="Times New Roman" w:cs="Times New Roman" w:ascii="Times New Roman" w:hAnsi="Times New Roman"/>
          <w:color w:val="0070C0"/>
          <w:sz w:val="24"/>
          <w:szCs w:val="24"/>
        </w:rPr>
        <w:t>A comprovação de integração das respectivas quotas-partes por parte dos cooperados que executarão o contrato; e</w:t>
      </w:r>
    </w:p>
    <w:p>
      <w:pPr>
        <w:pStyle w:val="Nivel3"/>
        <w:numPr>
          <w:ilvl w:val="2"/>
          <w:numId w:val="77"/>
        </w:numPr>
        <w:spacing w:lineRule="auto" w:line="240" w:before="120" w:after="288"/>
        <w:ind w:hanging="0" w:left="0"/>
        <w:rPr>
          <w:rFonts w:ascii="Times New Roman" w:hAnsi="Times New Roman" w:eastAsia="Times New Roman" w:cs="Times New Roman"/>
          <w:color w:val="0070C0"/>
          <w:sz w:val="24"/>
          <w:szCs w:val="24"/>
        </w:rPr>
      </w:pPr>
      <w:r>
        <w:rPr>
          <w:rFonts w:eastAsia="Times New Roman" w:cs="Times New Roman" w:ascii="Times New Roman" w:hAnsi="Times New Roman"/>
          <w:color w:val="0070C0"/>
          <w:sz w:val="24"/>
          <w:szCs w:val="24"/>
        </w:rPr>
        <w:t xml:space="preserve"> </w:t>
      </w:r>
      <w:r>
        <w:rPr>
          <w:rFonts w:eastAsia="Times New Roman" w:cs="Times New Roman" w:ascii="Times New Roman" w:hAnsi="Times New Roman"/>
          <w:color w:val="0070C0"/>
          <w:sz w:val="24"/>
          <w:szCs w:val="24"/>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Nivel3"/>
        <w:numPr>
          <w:ilvl w:val="2"/>
          <w:numId w:val="78"/>
        </w:numPr>
        <w:spacing w:lineRule="auto" w:line="240" w:before="120" w:after="288"/>
        <w:ind w:hanging="0" w:left="0"/>
        <w:rPr>
          <w:rFonts w:ascii="Times New Roman" w:hAnsi="Times New Roman" w:eastAsia="Times New Roman" w:cs="Times New Roman"/>
          <w:color w:val="0070C0"/>
          <w:sz w:val="24"/>
          <w:szCs w:val="24"/>
        </w:rPr>
      </w:pPr>
      <w:r>
        <w:rPr>
          <w:rFonts w:eastAsia="Times New Roman" w:cs="Times New Roman" w:ascii="Times New Roman" w:hAnsi="Times New Roman"/>
          <w:color w:val="0070C0"/>
          <w:sz w:val="24"/>
          <w:szCs w:val="24"/>
        </w:rPr>
        <w:t xml:space="preserve">A última auditoria contábil-financeira da cooperativa, conforme dispõe o </w:t>
      </w:r>
      <w:r>
        <w:fldChar w:fldCharType="begin"/>
      </w:r>
      <w:r>
        <w:rPr>
          <w:sz w:val="24"/>
          <w:szCs w:val="24"/>
          <w:rFonts w:eastAsia="Times New Roman" w:cs="Times New Roman" w:ascii="Times New Roman" w:hAnsi="Times New Roman"/>
          <w:color w:val="0070C0"/>
        </w:rPr>
        <w:instrText xml:space="preserve"> HYPERLINK "https://www.planalto.gov.br/ccivil_03/leis/l5764.htm" \l "art112"</w:instrText>
      </w:r>
      <w:r>
        <w:rPr>
          <w:sz w:val="24"/>
          <w:szCs w:val="24"/>
          <w:rFonts w:eastAsia="Times New Roman" w:cs="Times New Roman" w:ascii="Times New Roman" w:hAnsi="Times New Roman"/>
          <w:color w:val="0070C0"/>
        </w:rPr>
        <w:fldChar w:fldCharType="separate"/>
      </w:r>
      <w:r>
        <w:rPr>
          <w:rFonts w:eastAsia="Times New Roman" w:cs="Times New Roman" w:ascii="Times New Roman" w:hAnsi="Times New Roman"/>
          <w:color w:val="0070C0"/>
          <w:sz w:val="24"/>
          <w:szCs w:val="24"/>
        </w:rPr>
        <w:t>art. 112 da Lei n. 5.764, de 1971</w:t>
      </w:r>
      <w:r>
        <w:rPr>
          <w:sz w:val="24"/>
          <w:szCs w:val="24"/>
          <w:rFonts w:eastAsia="Times New Roman" w:cs="Times New Roman" w:ascii="Times New Roman" w:hAnsi="Times New Roman"/>
          <w:color w:val="0070C0"/>
        </w:rPr>
        <w:fldChar w:fldCharType="end"/>
      </w:r>
      <w:r>
        <w:rPr>
          <w:rFonts w:eastAsia="Times New Roman" w:cs="Times New Roman" w:ascii="Times New Roman" w:hAnsi="Times New Roman"/>
          <w:color w:val="0070C0"/>
          <w:sz w:val="24"/>
          <w:szCs w:val="24"/>
        </w:rPr>
        <w:t>, ou uma declaração, sob as penas da lei, de que tal auditoria não foi exigida pelo órgão fiscalizador.</w:t>
      </w:r>
    </w:p>
    <w:p>
      <w:pPr>
        <w:pStyle w:val="Normal"/>
        <w:spacing w:lineRule="auto" w:line="240"/>
        <w:rPr>
          <w:rFonts w:ascii="Times New Roman" w:hAnsi="Times New Roman"/>
          <w:b/>
          <w:sz w:val="24"/>
          <w:szCs w:val="24"/>
        </w:rPr>
      </w:pPr>
      <w:r>
        <w:rPr>
          <w:rFonts w:ascii="Times New Roman" w:hAnsi="Times New Roman"/>
          <w:b/>
          <w:sz w:val="24"/>
          <w:szCs w:val="24"/>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shd w:color="auto" w:fill="244061" w:themeFill="accent1" w:themeFillShade="80" w:val="clear"/>
          </w:tcPr>
          <w:p>
            <w:pPr>
              <w:pStyle w:val="ListParagraph"/>
              <w:widowControl w:val="false"/>
              <w:numPr>
                <w:ilvl w:val="0"/>
                <w:numId w:val="6"/>
              </w:numPr>
              <w:tabs>
                <w:tab w:val="clear" w:pos="708"/>
                <w:tab w:val="left" w:pos="34" w:leader="none"/>
                <w:tab w:val="left" w:pos="318" w:leader="none"/>
              </w:tabs>
              <w:spacing w:before="0" w:after="0"/>
              <w:ind w:hanging="0" w:left="0"/>
              <w:jc w:val="both"/>
              <w:rPr>
                <w:b/>
                <w:color w:themeColor="background1" w:val="FFFFFF"/>
                <w:sz w:val="24"/>
                <w:szCs w:val="24"/>
              </w:rPr>
            </w:pPr>
            <w:r>
              <w:rPr>
                <w:b/>
                <w:color w:themeColor="background1" w:val="FFFFFF"/>
                <w:kern w:val="0"/>
                <w:sz w:val="24"/>
                <w:szCs w:val="24"/>
                <w:lang w:val="pt-BR" w:bidi="ar-SA"/>
              </w:rPr>
              <w:t xml:space="preserve">– </w:t>
            </w:r>
            <w:r>
              <w:rPr>
                <w:b/>
                <w:color w:themeColor="background1" w:val="FFFFFF"/>
                <w:kern w:val="0"/>
                <w:sz w:val="24"/>
                <w:szCs w:val="24"/>
                <w:lang w:val="pt-BR" w:bidi="ar-SA"/>
              </w:rPr>
              <w:t>ESTIMATIVAS DO VALOR DA CONTRATAÇÃO</w:t>
            </w:r>
          </w:p>
        </w:tc>
      </w:tr>
    </w:tbl>
    <w:p>
      <w:pPr>
        <w:pStyle w:val="Normal"/>
        <w:spacing w:lineRule="auto" w:line="240"/>
        <w:rPr>
          <w:rFonts w:ascii="Times New Roman" w:hAnsi="Times New Roman"/>
          <w:b/>
          <w:sz w:val="24"/>
          <w:szCs w:val="24"/>
        </w:rPr>
      </w:pPr>
      <w:r>
        <w:rPr>
          <w:rFonts w:ascii="Times New Roman" w:hAnsi="Times New Roman"/>
          <w:b/>
          <w:sz w:val="24"/>
          <w:szCs w:val="24"/>
        </w:rPr>
      </w:r>
    </w:p>
    <w:p>
      <w:pPr>
        <w:pStyle w:val="Nivel2"/>
        <w:numPr>
          <w:ilvl w:val="1"/>
          <w:numId w:val="6"/>
        </w:numPr>
        <w:spacing w:lineRule="auto" w:line="312" w:before="120" w:after="288"/>
        <w:ind w:hanging="0" w:left="0"/>
        <w:rPr>
          <w:rFonts w:ascii="Times New Roman" w:hAnsi="Times New Roman" w:eastAsia="Times New Roman" w:cs="Times New Roman"/>
          <w:color w:val="0070C0"/>
          <w:sz w:val="24"/>
          <w:szCs w:val="24"/>
        </w:rPr>
      </w:pPr>
      <w:r>
        <w:rPr>
          <w:rFonts w:eastAsia="Times New Roman" w:cs="Times New Roman" w:ascii="Times New Roman" w:hAnsi="Times New Roman"/>
          <w:color w:val="0070C0"/>
          <w:sz w:val="24"/>
          <w:szCs w:val="24"/>
        </w:rPr>
        <w:t>O custo estimado total da contratação é de R$... (por extenso), conforme custos unitários apostos na tabela do item 1 deste termo.</w:t>
      </w:r>
    </w:p>
    <w:p>
      <w:pPr>
        <w:pStyle w:val="Ou"/>
        <w:spacing w:lineRule="auto" w:line="312" w:before="120" w:after="288"/>
        <w:rPr>
          <w:rFonts w:ascii="Times New Roman" w:hAnsi="Times New Roman" w:cs="Times New Roman"/>
          <w:i w:val="false"/>
          <w:i w:val="false"/>
          <w:iCs w:val="false"/>
          <w:color w:val="0070C0"/>
        </w:rPr>
      </w:pPr>
      <w:r>
        <w:rPr>
          <w:rFonts w:cs="Times New Roman" w:ascii="Times New Roman" w:hAnsi="Times New Roman"/>
          <w:i w:val="false"/>
          <w:iCs w:val="false"/>
          <w:color w:val="0070C0"/>
        </w:rPr>
        <w:t>OU</w:t>
      </w:r>
    </w:p>
    <w:p>
      <w:pPr>
        <w:pStyle w:val="ListParagraph"/>
        <w:keepNext w:val="true"/>
        <w:keepLines/>
        <w:numPr>
          <w:ilvl w:val="0"/>
          <w:numId w:val="79"/>
        </w:numPr>
        <w:tabs>
          <w:tab w:val="clear" w:pos="708"/>
          <w:tab w:val="left" w:pos="567" w:leader="none"/>
        </w:tabs>
        <w:spacing w:before="240" w:after="0"/>
        <w:jc w:val="both"/>
        <w:outlineLvl w:val="0"/>
        <w:rPr>
          <w:b/>
          <w:bCs/>
          <w:vanish/>
          <w:color w:val="0070C0"/>
        </w:rPr>
      </w:pPr>
      <w:r>
        <w:rPr>
          <w:b/>
          <w:bCs/>
          <w:vanish/>
          <w:color w:val="0070C0"/>
        </w:rPr>
      </w:r>
    </w:p>
    <w:p>
      <w:pPr>
        <w:pStyle w:val="ListParagraph"/>
        <w:numPr>
          <w:ilvl w:val="1"/>
          <w:numId w:val="80"/>
        </w:numPr>
        <w:spacing w:lineRule="auto" w:line="276" w:before="120" w:after="120"/>
        <w:ind w:hanging="432" w:left="999"/>
        <w:jc w:val="both"/>
        <w:rPr>
          <w:vanish/>
          <w:color w:val="0070C0"/>
        </w:rPr>
      </w:pPr>
      <w:r>
        <w:rPr>
          <w:vanish/>
          <w:color w:val="0070C0"/>
        </w:rPr>
      </w:r>
    </w:p>
    <w:p>
      <w:pPr>
        <w:pStyle w:val="Nivel2"/>
        <w:numPr>
          <w:ilvl w:val="1"/>
          <w:numId w:val="81"/>
        </w:numPr>
        <w:ind w:hanging="432" w:left="432"/>
        <w:rPr>
          <w:rFonts w:ascii="Times New Roman" w:hAnsi="Times New Roman" w:eastAsia="Times New Roman" w:cs="Times New Roman"/>
          <w:color w:val="0070C0"/>
        </w:rPr>
      </w:pPr>
      <w:r>
        <w:rPr>
          <w:rFonts w:eastAsia="Times New Roman" w:cs="Times New Roman" w:ascii="Times New Roman" w:hAnsi="Times New Roman"/>
          <w:color w:val="0070C0"/>
          <w:sz w:val="24"/>
          <w:szCs w:val="24"/>
        </w:rPr>
        <w:t>O valor de referência para aplicação do maior desconto corresponde a R$.....</w:t>
      </w:r>
    </w:p>
    <w:p>
      <w:pPr>
        <w:pStyle w:val="Nvel2-Red"/>
        <w:numPr>
          <w:ilvl w:val="0"/>
          <w:numId w:val="0"/>
        </w:numPr>
        <w:spacing w:lineRule="auto" w:line="312" w:before="120" w:after="288"/>
        <w:ind w:hanging="0" w:left="0"/>
        <w:rPr>
          <w:rFonts w:ascii="Times New Roman" w:hAnsi="Times New Roman" w:eastAsia="Times New Roman" w:cs="Times New Roman"/>
          <w:i w:val="false"/>
          <w:i w:val="false"/>
          <w:iCs w:val="false"/>
          <w:color w:val="0070C0"/>
          <w:sz w:val="24"/>
          <w:szCs w:val="24"/>
        </w:rPr>
      </w:pPr>
      <w:r>
        <w:rPr>
          <w:rFonts w:eastAsia="Times New Roman" w:cs="Times New Roman" w:ascii="Times New Roman" w:hAnsi="Times New Roman"/>
          <w:i w:val="false"/>
          <w:iCs w:val="false"/>
          <w:color w:val="0070C0"/>
          <w:sz w:val="24"/>
          <w:szCs w:val="24"/>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shd w:color="auto" w:fill="244061" w:themeFill="accent1" w:themeFillShade="80" w:val="clear"/>
          </w:tcPr>
          <w:p>
            <w:pPr>
              <w:pStyle w:val="Normal"/>
              <w:widowControl/>
              <w:spacing w:before="0" w:after="0"/>
              <w:rPr>
                <w:rFonts w:ascii="Times New Roman" w:hAnsi="Times New Roman" w:eastAsia="Times New Roman"/>
                <w:color w:val="000000"/>
                <w:sz w:val="24"/>
                <w:szCs w:val="24"/>
                <w:lang w:eastAsia="pt-BR"/>
              </w:rPr>
            </w:pPr>
            <w:r>
              <w:rPr>
                <w:rFonts w:eastAsia="Times New Roman" w:ascii="Times New Roman" w:hAnsi="Times New Roman"/>
                <w:b/>
                <w:bCs/>
                <w:color w:themeColor="background1" w:val="FFFFFF"/>
                <w:kern w:val="0"/>
                <w:sz w:val="24"/>
                <w:szCs w:val="24"/>
                <w:lang w:val="pt-BR" w:eastAsia="pt-BR" w:bidi="ar-SA"/>
              </w:rPr>
              <w:t>10 – ADEQUAÇÃO ORÇAMENTÁRIA</w:t>
            </w:r>
          </w:p>
        </w:tc>
      </w:tr>
    </w:tbl>
    <w:p>
      <w:pPr>
        <w:pStyle w:val="ListParagraph"/>
        <w:keepNext w:val="true"/>
        <w:keepLines/>
        <w:numPr>
          <w:ilvl w:val="0"/>
          <w:numId w:val="82"/>
        </w:numPr>
        <w:tabs>
          <w:tab w:val="clear" w:pos="708"/>
          <w:tab w:val="left" w:pos="567" w:leader="none"/>
        </w:tabs>
        <w:spacing w:before="240" w:after="0"/>
        <w:jc w:val="both"/>
        <w:outlineLvl w:val="0"/>
        <w:rPr>
          <w:rFonts w:eastAsia="Arial"/>
          <w:b/>
          <w:bCs/>
          <w:vanish/>
        </w:rPr>
      </w:pPr>
      <w:r>
        <w:rPr>
          <w:rFonts w:eastAsia="Arial"/>
          <w:b/>
          <w:bCs/>
          <w:vanish/>
        </w:rPr>
      </w:r>
    </w:p>
    <w:p>
      <w:pPr>
        <w:pStyle w:val="Nvel2-Red"/>
        <w:numPr>
          <w:ilvl w:val="1"/>
          <w:numId w:val="83"/>
        </w:numPr>
        <w:spacing w:lineRule="auto" w:line="312" w:before="120" w:after="288"/>
        <w:ind w:hanging="0" w:left="0"/>
        <w:rPr>
          <w:rFonts w:ascii="Times New Roman" w:hAnsi="Times New Roman" w:eastAsia="Times New Roman" w:cs="Times New Roman"/>
          <w:i w:val="false"/>
          <w:i w:val="false"/>
          <w:iCs w:val="false"/>
          <w:color w:val="auto"/>
          <w:sz w:val="24"/>
          <w:szCs w:val="24"/>
        </w:rPr>
      </w:pPr>
      <w:r>
        <w:rPr>
          <w:rFonts w:eastAsia="Times New Roman" w:cs="Times New Roman" w:ascii="Times New Roman" w:hAnsi="Times New Roman"/>
          <w:i w:val="false"/>
          <w:iCs w:val="false"/>
          <w:color w:val="auto"/>
          <w:sz w:val="24"/>
          <w:szCs w:val="24"/>
        </w:rPr>
        <w:t>As despesas decorrentes da presente contratação correrão à conta de recursos específicos consignados no Orçamento Geral do Município de Martinho Campos.</w:t>
      </w:r>
    </w:p>
    <w:p>
      <w:pPr>
        <w:pStyle w:val="Nvel2-Red"/>
        <w:numPr>
          <w:ilvl w:val="1"/>
          <w:numId w:val="84"/>
        </w:numPr>
        <w:spacing w:lineRule="auto" w:line="312" w:before="120" w:after="288"/>
        <w:ind w:hanging="0" w:left="0"/>
        <w:rPr>
          <w:rFonts w:ascii="Times New Roman" w:hAnsi="Times New Roman" w:eastAsia="Times New Roman" w:cs="Times New Roman"/>
          <w:i w:val="false"/>
          <w:i w:val="false"/>
          <w:iCs w:val="false"/>
          <w:color w:val="auto"/>
          <w:sz w:val="24"/>
          <w:szCs w:val="24"/>
        </w:rPr>
      </w:pPr>
      <w:r>
        <w:rPr>
          <w:rFonts w:eastAsia="Times New Roman" w:cs="Times New Roman" w:ascii="Times New Roman" w:hAnsi="Times New Roman"/>
          <w:i w:val="false"/>
          <w:iCs w:val="false"/>
          <w:color w:val="auto"/>
          <w:sz w:val="24"/>
          <w:szCs w:val="24"/>
        </w:rPr>
        <w:t>A contratação será atendida pela seguinte dotação: XXXXXXXXXXXXXXXXX</w:t>
      </w:r>
    </w:p>
    <w:p>
      <w:pPr>
        <w:pStyle w:val="Nvel2-Red"/>
        <w:numPr>
          <w:ilvl w:val="1"/>
          <w:numId w:val="85"/>
        </w:numPr>
        <w:spacing w:lineRule="auto" w:line="312" w:before="120" w:after="288"/>
        <w:ind w:hanging="0" w:left="0"/>
        <w:rPr>
          <w:rFonts w:ascii="Times New Roman" w:hAnsi="Times New Roman" w:eastAsia="Times New Roman" w:cs="Times New Roman"/>
          <w:i w:val="false"/>
          <w:i w:val="false"/>
          <w:iCs w:val="false"/>
          <w:color w:val="auto"/>
          <w:sz w:val="24"/>
          <w:szCs w:val="24"/>
        </w:rPr>
      </w:pPr>
      <w:r>
        <w:rPr>
          <w:rFonts w:eastAsia="Times New Roman" w:cs="Times New Roman" w:ascii="Times New Roman" w:hAnsi="Times New Roman"/>
          <w:i w:val="false"/>
          <w:iCs w:val="false"/>
          <w:color w:val="auto"/>
          <w:sz w:val="24"/>
          <w:szCs w:val="24"/>
        </w:rPr>
        <w:t>A dotação relativa aos exercícios financeiros subsequentes será indicada após aprovação da Lei Orçamentária respectiva e liberação dos créditos correspondentes, mediante apostilamento.</w:t>
      </w:r>
    </w:p>
    <w:p>
      <w:pPr>
        <w:pStyle w:val="Normal"/>
        <w:shd w:val="clear" w:color="auto" w:fill="244061" w:themeFill="accent1" w:themeFillShade="80"/>
        <w:spacing w:lineRule="auto" w:line="240"/>
        <w:rPr>
          <w:rFonts w:ascii="Times New Roman" w:hAnsi="Times New Roman" w:eastAsia="Times New Roman"/>
          <w:b/>
          <w:bCs/>
          <w:color w:themeColor="background1" w:val="FFFFFF"/>
          <w:sz w:val="24"/>
          <w:szCs w:val="24"/>
          <w:lang w:eastAsia="pt-BR"/>
        </w:rPr>
      </w:pPr>
      <w:r>
        <w:rPr>
          <w:rFonts w:eastAsia="Times New Roman" w:ascii="Times New Roman" w:hAnsi="Times New Roman"/>
          <w:b/>
          <w:bCs/>
          <w:color w:themeColor="background1" w:val="FFFFFF"/>
          <w:sz w:val="24"/>
          <w:szCs w:val="24"/>
          <w:lang w:eastAsia="pt-BR"/>
        </w:rPr>
        <w:t xml:space="preserve">11. DAS OBRIGAÇÕES ENTRE AS PARTES </w:t>
      </w:r>
    </w:p>
    <w:p>
      <w:pPr>
        <w:pStyle w:val="Nivel2"/>
        <w:numPr>
          <w:ilvl w:val="0"/>
          <w:numId w:val="0"/>
        </w:numPr>
        <w:spacing w:lineRule="auto" w:line="312" w:before="120" w:after="288"/>
        <w:ind w:hanging="0" w:left="0"/>
        <w:rPr>
          <w:rFonts w:ascii="Times New Roman" w:hAnsi="Times New Roman" w:eastAsia="Times New Roman" w:cs="Times New Roman"/>
          <w:b/>
          <w:bCs/>
          <w:color w:val="auto"/>
          <w:sz w:val="24"/>
          <w:szCs w:val="24"/>
        </w:rPr>
      </w:pPr>
      <w:r>
        <w:rPr>
          <w:rFonts w:eastAsia="Times New Roman" w:cs="Times New Roman" w:ascii="Times New Roman" w:hAnsi="Times New Roman"/>
          <w:b/>
          <w:bCs/>
          <w:color w:val="auto"/>
          <w:sz w:val="24"/>
          <w:szCs w:val="24"/>
        </w:rPr>
        <w:t xml:space="preserve">11.1 – DO LICITANTE: </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11.1.1. Efetuar a entrega dos produtos objeto desta licitação no prazo estipulado, de acordo com as especificações constantes do Termo de Referência e demais condições estabelecidas no Edital, e comunicar imediatamente o representante legal do Contratante, na hipótese de ocorrências de qualquer fato impeditivo de seu cumprimento.</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 xml:space="preserve">11.1.2 - Manter, durante a vigência da licitação, em conformidade com as obrigações assumidas, todas as condições de habilitação e qualificação exigidas na licitação, devendo comunicar, imediatamente, qualquer alteração que possa comprometer esta contratação, bem como reapresentar os documentos com prazo de validade expirado. </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 xml:space="preserve">11.1.3 - Executar a entrega dos produtos licitados, arcando com eventuais prejuízos causados ao MUNICÍPIO DE MARTINHO CAMPOS, provocados por ineficiência ou irregularidades dos produtos. </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 xml:space="preserve">11.1.4 - Acatar e respeitar as normas administrativas do MUNICÍPIO DE MARTINHO CAMPOS no decurso do desenvolvimento do objeto ora licitado. </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 xml:space="preserve">11.1.5 - Assumir a responsabilidade pelos encargos fiscais, taxas comerciais, tributos e contribuições que incidam direta ou indiretamente sobre o fornecimento do objeto. </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 xml:space="preserve">11.1.6 Reparar, corrigir, total ou parcialmente, às suas expensas qualquer irregularidade que venha a ser encontrada no fornecimento dos produtos. </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11.1.7 - Realizar a entrega de todos os produtos solicitados na Nota de Autorização de Fornecimento ou documentos equivalente, no prazo de até 07 (sete) dias úteis após seu recebimento. O objeto deste Certamente será requisitado conforme a necessidade da Secretaria solicitante</w:t>
      </w:r>
    </w:p>
    <w:p>
      <w:pPr>
        <w:pStyle w:val="Nivel2"/>
        <w:numPr>
          <w:ilvl w:val="0"/>
          <w:numId w:val="0"/>
        </w:numPr>
        <w:spacing w:lineRule="auto" w:line="312" w:before="120" w:after="288"/>
        <w:ind w:hanging="0" w:left="0"/>
        <w:rPr>
          <w:rFonts w:ascii="Times New Roman" w:hAnsi="Times New Roman" w:eastAsia="Times New Roman" w:cs="Times New Roman"/>
          <w:b/>
          <w:bCs/>
          <w:color w:val="auto"/>
          <w:sz w:val="24"/>
          <w:szCs w:val="24"/>
        </w:rPr>
      </w:pPr>
      <w:r>
        <w:rPr>
          <w:rFonts w:eastAsia="Times New Roman" w:cs="Times New Roman" w:ascii="Times New Roman" w:hAnsi="Times New Roman"/>
          <w:b/>
          <w:bCs/>
          <w:color w:val="auto"/>
          <w:sz w:val="24"/>
          <w:szCs w:val="24"/>
        </w:rPr>
        <w:t>11.2 - DO MUNICÍPIO:</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11.2.1 - Notificar o FORNECEDOR sobre qualquer irregularidade encontrada na execução do objeto desta ATA, fixando-lhe quando não pactuado, prazo para corrigi-las.</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 xml:space="preserve">11.2.2 - Disponibilizar ao FORNECEDOR todas as informações necessárias à fiel execução do objeto licitado. </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 xml:space="preserve">11.2.3 - Efetuar o pagamento nas condições pactuadas, que estará condicionado ao fornecimento total das quantidades solicitadas em cada entrega. </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11.2.4 - Rejeitar, no todo ou em parte, o objeto entregue em desacordo com as obrigações assumidas pelo FORNECEDOR, indicando as razões da recusa.</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t>[Local], [dia] de [mês] de [ano].</w:t>
      </w:r>
    </w:p>
    <w:p>
      <w:pPr>
        <w:pStyle w:val="Nivel2"/>
        <w:numPr>
          <w:ilvl w:val="0"/>
          <w:numId w:val="0"/>
        </w:numPr>
        <w:spacing w:lineRule="auto" w:line="312" w:before="120" w:after="288"/>
        <w:ind w:hanging="0" w:left="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
        <w:spacing w:lineRule="auto" w:line="312" w:before="120" w:after="288"/>
        <w:jc w:val="center"/>
        <w:rPr>
          <w:rFonts w:ascii="Times New Roman" w:hAnsi="Times New Roman" w:eastAsia="Times New Roman"/>
          <w:sz w:val="24"/>
          <w:szCs w:val="24"/>
          <w:lang w:eastAsia="pt-BR"/>
        </w:rPr>
      </w:pPr>
      <w:r>
        <w:rPr>
          <w:rFonts w:eastAsia="Times New Roman" w:ascii="Times New Roman" w:hAnsi="Times New Roman"/>
          <w:sz w:val="24"/>
          <w:szCs w:val="24"/>
          <w:lang w:eastAsia="pt-BR"/>
        </w:rPr>
        <w:t>__________________________________</w:t>
      </w:r>
    </w:p>
    <w:p>
      <w:pPr>
        <w:pStyle w:val="Normal"/>
        <w:spacing w:lineRule="auto" w:line="312" w:before="120" w:after="288"/>
        <w:jc w:val="center"/>
        <w:rPr>
          <w:rFonts w:ascii="Times New Roman" w:hAnsi="Times New Roman" w:eastAsia="Times New Roman"/>
          <w:sz w:val="24"/>
          <w:szCs w:val="24"/>
          <w:lang w:eastAsia="pt-BR"/>
        </w:rPr>
      </w:pPr>
      <w:r>
        <w:rPr>
          <w:rFonts w:eastAsia="Times New Roman" w:ascii="Times New Roman" w:hAnsi="Times New Roman"/>
          <w:sz w:val="24"/>
          <w:szCs w:val="24"/>
          <w:lang w:eastAsia="pt-BR"/>
        </w:rPr>
        <w:t>Identificação e assinatura do servidor (ou equipe) responsável</w:t>
      </w:r>
    </w:p>
    <w:p>
      <w:pPr>
        <w:pStyle w:val="Normal"/>
        <w:spacing w:lineRule="auto" w:line="240"/>
        <w:rPr>
          <w:rFonts w:ascii="Times New Roman" w:hAnsi="Times New Roman" w:eastAsia="Times New Roman"/>
          <w:sz w:val="24"/>
          <w:szCs w:val="24"/>
          <w:lang w:eastAsia="pt-BR"/>
        </w:rPr>
      </w:pPr>
      <w:r>
        <w:rPr>
          <w:rFonts w:eastAsia="Times New Roman" w:ascii="Times New Roman" w:hAnsi="Times New Roman"/>
          <w:sz w:val="24"/>
          <w:szCs w:val="24"/>
          <w:lang w:eastAsia="pt-BR"/>
        </w:rPr>
      </w:r>
    </w:p>
    <w:p>
      <w:pPr>
        <w:pStyle w:val="Normal"/>
        <w:spacing w:lineRule="auto" w:line="240"/>
        <w:rPr>
          <w:rFonts w:ascii="Times New Roman" w:hAnsi="Times New Roman" w:eastAsia="Times New Roman"/>
          <w:sz w:val="24"/>
          <w:szCs w:val="24"/>
          <w:lang w:eastAsia="pt-BR"/>
        </w:rPr>
      </w:pPr>
      <w:r>
        <w:rPr>
          <w:rFonts w:eastAsia="Times New Roman" w:ascii="Times New Roman" w:hAnsi="Times New Roman"/>
          <w:sz w:val="24"/>
          <w:szCs w:val="24"/>
          <w:lang w:eastAsia="pt-BR"/>
        </w:rPr>
      </w:r>
    </w:p>
    <w:p>
      <w:pPr>
        <w:pStyle w:val="Normal"/>
        <w:rPr/>
      </w:pPr>
      <w:r>
        <w:rPr/>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560" w:right="1134" w:gutter="0" w:header="709" w:top="1418" w:footer="709"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Ecofont_Spranq_eco_Sans">
    <w:charset w:val="00"/>
    <w:family w:val="roman"/>
    <w:pitch w:val="variable"/>
  </w:font>
  <w:font w:name="Liberation Sans">
    <w:altName w:val="Arial"/>
    <w:charset w:val="00"/>
    <w:family w:val="swiss"/>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376818136"/>
    </w:sdtPr>
    <w:sdtContent>
      <w:p>
        <w:pPr>
          <w:pStyle w:val="Footer"/>
          <w:jc w:val="right"/>
          <w:rPr/>
        </w:pPr>
        <w:r>
          <w:rPr/>
          <w:t xml:space="preserve">Página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14</w:t>
        </w:r>
        <w:r>
          <w:rPr>
            <w:sz w:val="24"/>
            <w:b/>
            <w:szCs w:val="24"/>
            <w:bCs/>
          </w:rPr>
          <w:fldChar w:fldCharType="end"/>
        </w:r>
        <w:r>
          <w:rPr/>
          <w:t xml:space="preserve"> de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15</w:t>
        </w:r>
        <w:r>
          <w:rPr>
            <w:sz w:val="24"/>
            <w:b/>
            <w:szCs w:val="24"/>
            <w:bCs/>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376818136"/>
    </w:sdtPr>
    <w:sdtContent>
      <w:p>
        <w:pPr>
          <w:pStyle w:val="Footer"/>
          <w:jc w:val="right"/>
          <w:rPr/>
        </w:pPr>
        <w:r>
          <w:rPr/>
          <w:t xml:space="preserve">Página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14</w:t>
        </w:r>
        <w:r>
          <w:rPr>
            <w:sz w:val="24"/>
            <w:b/>
            <w:szCs w:val="24"/>
            <w:bCs/>
          </w:rPr>
          <w:fldChar w:fldCharType="end"/>
        </w:r>
        <w:r>
          <w:rPr/>
          <w:t xml:space="preserve"> de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15</w:t>
        </w:r>
        <w:r>
          <w:rPr>
            <w:sz w:val="24"/>
            <w:b/>
            <w:szCs w:val="24"/>
            <w:bCs/>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058545" cy="702945"/>
          <wp:effectExtent l="0" t="0" r="0" b="0"/>
          <wp:docPr id="1" name="Imagem 19" descr="http://www.camarabd.mg.gov.br/site/uploads/simbolo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9" descr="http://www.camarabd.mg.gov.br/site/uploads/simbolos/03.jpg"/>
                  <pic:cNvPicPr>
                    <a:picLocks noChangeAspect="1" noChangeArrowheads="1"/>
                  </pic:cNvPicPr>
                </pic:nvPicPr>
                <pic:blipFill>
                  <a:blip r:embed="rId1"/>
                  <a:stretch>
                    <a:fillRect/>
                  </a:stretch>
                </pic:blipFill>
                <pic:spPr bwMode="auto">
                  <a:xfrm>
                    <a:off x="0" y="0"/>
                    <a:ext cx="1058545" cy="702945"/>
                  </a:xfrm>
                  <a:prstGeom prst="rect">
                    <a:avLst/>
                  </a:prstGeom>
                </pic:spPr>
              </pic:pic>
            </a:graphicData>
          </a:graphic>
        </wp:inline>
      </w:drawing>
    </w:r>
    <w:r>
      <w:rPr/>
      <w:t xml:space="preserve">      </w:t>
    </w:r>
    <w:r>
      <w:rPr/>
      <w:drawing>
        <wp:inline distT="0" distB="0" distL="0" distR="0">
          <wp:extent cx="4021455" cy="644525"/>
          <wp:effectExtent l="0" t="0" r="0" b="0"/>
          <wp:docPr id="2" name="Imagem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0" descr=""/>
                  <pic:cNvPicPr>
                    <a:picLocks noChangeAspect="1" noChangeArrowheads="1"/>
                  </pic:cNvPicPr>
                </pic:nvPicPr>
                <pic:blipFill>
                  <a:blip r:embed="rId2"/>
                  <a:stretch>
                    <a:fillRect/>
                  </a:stretch>
                </pic:blipFill>
                <pic:spPr bwMode="auto">
                  <a:xfrm>
                    <a:off x="0" y="0"/>
                    <a:ext cx="4021455" cy="644525"/>
                  </a:xfrm>
                  <a:prstGeom prst="rect">
                    <a:avLst/>
                  </a:prstGeom>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058545" cy="702945"/>
          <wp:effectExtent l="0" t="0" r="0" b="0"/>
          <wp:docPr id="3" name="Imagem 19" descr="http://www.camarabd.mg.gov.br/site/uploads/simbolo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9" descr="http://www.camarabd.mg.gov.br/site/uploads/simbolos/03.jpg"/>
                  <pic:cNvPicPr>
                    <a:picLocks noChangeAspect="1" noChangeArrowheads="1"/>
                  </pic:cNvPicPr>
                </pic:nvPicPr>
                <pic:blipFill>
                  <a:blip r:embed="rId1"/>
                  <a:stretch>
                    <a:fillRect/>
                  </a:stretch>
                </pic:blipFill>
                <pic:spPr bwMode="auto">
                  <a:xfrm>
                    <a:off x="0" y="0"/>
                    <a:ext cx="1058545" cy="702945"/>
                  </a:xfrm>
                  <a:prstGeom prst="rect">
                    <a:avLst/>
                  </a:prstGeom>
                </pic:spPr>
              </pic:pic>
            </a:graphicData>
          </a:graphic>
        </wp:inline>
      </w:drawing>
    </w:r>
    <w:r>
      <w:rPr/>
      <w:t xml:space="preserve">      </w:t>
    </w:r>
    <w:r>
      <w:rPr/>
      <w:drawing>
        <wp:inline distT="0" distB="0" distL="0" distR="0">
          <wp:extent cx="4021455" cy="644525"/>
          <wp:effectExtent l="0" t="0" r="0" b="0"/>
          <wp:docPr id="4" name="Imagem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0" descr=""/>
                  <pic:cNvPicPr>
                    <a:picLocks noChangeAspect="1" noChangeArrowheads="1"/>
                  </pic:cNvPicPr>
                </pic:nvPicPr>
                <pic:blipFill>
                  <a:blip r:embed="rId2"/>
                  <a:stretch>
                    <a:fillRect/>
                  </a:stretch>
                </pic:blipFill>
                <pic:spPr bwMode="auto">
                  <a:xfrm>
                    <a:off x="0" y="0"/>
                    <a:ext cx="4021455" cy="644525"/>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20"/>
        <w:i w:val="false"/>
        <w:u w:val="none"/>
        <w:b w:val="false"/>
        <w:szCs w:val="20"/>
        <w:color w:val="auto"/>
      </w:rPr>
    </w:lvl>
    <w:lvl w:ilvl="2">
      <w:start w:val="1"/>
      <w:numFmt w:val="decimal"/>
      <w:lvlText w:val="%1.%2.%3."/>
      <w:lvlJc w:val="left"/>
      <w:pPr>
        <w:tabs>
          <w:tab w:val="num" w:pos="0"/>
        </w:tabs>
        <w:ind w:left="646"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432" w:hanging="432"/>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20"/>
        <w:i w:val="false"/>
        <w:u w:val="none"/>
        <w:b w:val="false"/>
        <w:szCs w:val="20"/>
        <w:color w:val="auto"/>
      </w:rPr>
    </w:lvl>
    <w:lvl w:ilvl="2">
      <w:start w:val="1"/>
      <w:numFmt w:val="decimal"/>
      <w:lvlText w:val="%1.%2.%3."/>
      <w:lvlJc w:val="left"/>
      <w:pPr>
        <w:tabs>
          <w:tab w:val="num" w:pos="0"/>
        </w:tabs>
        <w:ind w:left="646"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5"/>
      <w:numFmt w:val="decimal"/>
      <w:lvlText w:val="%1"/>
      <w:lvlJc w:val="left"/>
      <w:pPr>
        <w:tabs>
          <w:tab w:val="num" w:pos="0"/>
        </w:tabs>
        <w:ind w:left="360" w:hanging="360"/>
      </w:pPr>
      <w:rPr/>
    </w:lvl>
    <w:lvl w:ilvl="1">
      <w:start w:val="1"/>
      <w:numFmt w:val="decimal"/>
      <w:lvlText w:val="%1.%2"/>
      <w:lvlJc w:val="left"/>
      <w:pPr>
        <w:tabs>
          <w:tab w:val="num" w:pos="0"/>
        </w:tabs>
        <w:ind w:left="720" w:hanging="720"/>
      </w:pPr>
      <w:rPr>
        <w:color w:val="0070C0"/>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6">
    <w:lvl w:ilvl="0">
      <w:start w:val="9"/>
      <w:numFmt w:val="decimal"/>
      <w:lvlText w:val="%1"/>
      <w:lvlJc w:val="left"/>
      <w:pPr>
        <w:tabs>
          <w:tab w:val="num" w:pos="0"/>
        </w:tabs>
        <w:ind w:left="720" w:hanging="360"/>
      </w:pPr>
      <w:rPr/>
    </w:lvl>
    <w:lvl w:ilvl="1">
      <w:start w:val="1"/>
      <w:isLgl/>
      <w:numFmt w:val="decimal"/>
      <w:lvlText w:val="%1.%2."/>
      <w:lvlJc w:val="left"/>
      <w:pPr>
        <w:tabs>
          <w:tab w:val="num" w:pos="0"/>
        </w:tabs>
        <w:ind w:left="927" w:hanging="360"/>
      </w:pPr>
      <w:rPr>
        <w:b w:val="false"/>
      </w:rPr>
    </w:lvl>
    <w:lvl w:ilvl="2">
      <w:start w:val="1"/>
      <w:isLgl/>
      <w:numFmt w:val="decimal"/>
      <w:lvlText w:val="%1.%2.%3."/>
      <w:lvlJc w:val="left"/>
      <w:pPr>
        <w:tabs>
          <w:tab w:val="num" w:pos="0"/>
        </w:tabs>
        <w:ind w:left="1494" w:hanging="720"/>
      </w:pPr>
      <w:rPr>
        <w:b w:val="false"/>
      </w:rPr>
    </w:lvl>
    <w:lvl w:ilvl="3">
      <w:start w:val="1"/>
      <w:isLgl/>
      <w:numFmt w:val="decimal"/>
      <w:lvlText w:val="%1.%2.%3.%4."/>
      <w:lvlJc w:val="left"/>
      <w:pPr>
        <w:tabs>
          <w:tab w:val="num" w:pos="0"/>
        </w:tabs>
        <w:ind w:left="1701" w:hanging="720"/>
      </w:pPr>
      <w:rPr>
        <w:b w:val="false"/>
      </w:rPr>
    </w:lvl>
    <w:lvl w:ilvl="4">
      <w:start w:val="1"/>
      <w:isLgl/>
      <w:numFmt w:val="decimal"/>
      <w:lvlText w:val="%1.%2.%3.%4.%5."/>
      <w:lvlJc w:val="left"/>
      <w:pPr>
        <w:tabs>
          <w:tab w:val="num" w:pos="0"/>
        </w:tabs>
        <w:ind w:left="2268" w:hanging="1080"/>
      </w:pPr>
      <w:rPr>
        <w:b w:val="false"/>
      </w:rPr>
    </w:lvl>
    <w:lvl w:ilvl="5">
      <w:start w:val="1"/>
      <w:isLgl/>
      <w:numFmt w:val="decimal"/>
      <w:lvlText w:val="%1.%2.%3.%4.%5.%6."/>
      <w:lvlJc w:val="left"/>
      <w:pPr>
        <w:tabs>
          <w:tab w:val="num" w:pos="0"/>
        </w:tabs>
        <w:ind w:left="2475" w:hanging="1080"/>
      </w:pPr>
      <w:rPr>
        <w:b w:val="false"/>
      </w:rPr>
    </w:lvl>
    <w:lvl w:ilvl="6">
      <w:start w:val="1"/>
      <w:isLgl/>
      <w:numFmt w:val="decimal"/>
      <w:lvlText w:val="%1.%2.%3.%4.%5.%6.%7."/>
      <w:lvlJc w:val="left"/>
      <w:pPr>
        <w:tabs>
          <w:tab w:val="num" w:pos="0"/>
        </w:tabs>
        <w:ind w:left="3042" w:hanging="1440"/>
      </w:pPr>
      <w:rPr>
        <w:b w:val="false"/>
      </w:rPr>
    </w:lvl>
    <w:lvl w:ilvl="7">
      <w:start w:val="1"/>
      <w:isLgl/>
      <w:numFmt w:val="decimal"/>
      <w:lvlText w:val="%1.%2.%3.%4.%5.%6.%7.%8."/>
      <w:lvlJc w:val="left"/>
      <w:pPr>
        <w:tabs>
          <w:tab w:val="num" w:pos="0"/>
        </w:tabs>
        <w:ind w:left="3249" w:hanging="1440"/>
      </w:pPr>
      <w:rPr>
        <w:b w:val="false"/>
      </w:rPr>
    </w:lvl>
    <w:lvl w:ilvl="8">
      <w:start w:val="1"/>
      <w:isLgl/>
      <w:numFmt w:val="decimal"/>
      <w:lvlText w:val="%1.%2.%3.%4.%5.%6.%7.%8.%9."/>
      <w:lvlJc w:val="left"/>
      <w:pPr>
        <w:tabs>
          <w:tab w:val="num" w:pos="0"/>
        </w:tabs>
        <w:ind w:left="3816" w:hanging="1800"/>
      </w:pPr>
      <w:rPr>
        <w:b w:val="false"/>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4"/>
    <w:lvlOverride w:ilvl="0">
      <w:startOverride w:val="1"/>
    </w:lvlOverride>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37ee"/>
    <w:pPr>
      <w:widowControl/>
      <w:bidi w:val="0"/>
      <w:spacing w:lineRule="exact" w:line="240" w:before="0" w:after="0"/>
      <w:jc w:val="both"/>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Heading1">
    <w:name w:val="Heading 1"/>
    <w:basedOn w:val="Normal"/>
    <w:next w:val="Normal"/>
    <w:link w:val="Ttulo1Char"/>
    <w:qFormat/>
    <w:rsid w:val="004276b3"/>
    <w:pPr>
      <w:keepNext w:val="true"/>
      <w:keepLines/>
      <w:spacing w:lineRule="auto" w:line="240" w:before="480" w:after="0"/>
      <w:jc w:val="left"/>
      <w:outlineLvl w:val="0"/>
    </w:pPr>
    <w:rPr>
      <w:rFonts w:ascii="Cambria" w:hAnsi="Cambria" w:eastAsia="" w:cs="" w:asciiTheme="majorHAnsi" w:cstheme="majorBidi" w:eastAsiaTheme="majorEastAsia" w:hAnsiTheme="majorHAnsi"/>
      <w:b/>
      <w:bCs/>
      <w:color w:themeColor="accent1" w:themeShade="bf" w:val="365F91"/>
      <w:sz w:val="28"/>
      <w:szCs w:val="28"/>
      <w:lang w:eastAsia="pt-BR"/>
    </w:rPr>
  </w:style>
  <w:style w:type="paragraph" w:styleId="Heading2">
    <w:name w:val="Heading 2"/>
    <w:basedOn w:val="Normal"/>
    <w:next w:val="Normal"/>
    <w:link w:val="Ttulo2Char"/>
    <w:qFormat/>
    <w:rsid w:val="004276b3"/>
    <w:pPr>
      <w:keepNext w:val="true"/>
      <w:tabs>
        <w:tab w:val="clear" w:pos="708"/>
        <w:tab w:val="left" w:pos="1701" w:leader="none"/>
      </w:tabs>
      <w:spacing w:lineRule="auto" w:line="240"/>
      <w:ind w:right="-1"/>
      <w:jc w:val="center"/>
      <w:outlineLvl w:val="1"/>
    </w:pPr>
    <w:rPr>
      <w:rFonts w:ascii="Times New Roman" w:hAnsi="Times New Roman" w:eastAsia="" w:eastAsiaTheme="minorEastAsia"/>
      <w:b/>
      <w:color w:val="000000"/>
      <w:sz w:val="24"/>
      <w:szCs w:val="20"/>
      <w:lang w:eastAsia="pt-BR"/>
    </w:rPr>
  </w:style>
  <w:style w:type="paragraph" w:styleId="Heading3">
    <w:name w:val="Heading 3"/>
    <w:basedOn w:val="Normal"/>
    <w:next w:val="Normal"/>
    <w:link w:val="Ttulo3Char"/>
    <w:uiPriority w:val="9"/>
    <w:semiHidden/>
    <w:unhideWhenUsed/>
    <w:qFormat/>
    <w:rsid w:val="004276b3"/>
    <w:pPr>
      <w:keepNext w:val="true"/>
      <w:keepLines/>
      <w:spacing w:lineRule="auto" w:line="259" w:before="40" w:after="0"/>
      <w:jc w:val="left"/>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next w:val="Normal"/>
    <w:link w:val="Ttulo4Char"/>
    <w:semiHidden/>
    <w:unhideWhenUsed/>
    <w:qFormat/>
    <w:rsid w:val="004276b3"/>
    <w:pPr>
      <w:keepNext w:val="true"/>
      <w:keepLines/>
      <w:spacing w:lineRule="auto" w:line="240" w:before="40" w:after="0"/>
      <w:jc w:val="left"/>
      <w:outlineLvl w:val="3"/>
    </w:pPr>
    <w:rPr>
      <w:rFonts w:ascii="Cambria" w:hAnsi="Cambria" w:eastAsia="" w:cs="" w:asciiTheme="majorHAnsi" w:cstheme="majorBidi" w:eastAsiaTheme="majorEastAsia" w:hAnsiTheme="majorHAnsi"/>
      <w:i/>
      <w:iCs/>
      <w:color w:themeColor="accent1" w:themeShade="bf" w:val="365F91"/>
      <w:sz w:val="24"/>
      <w:szCs w:val="24"/>
      <w:lang w:eastAsia="pt-BR"/>
    </w:rPr>
  </w:style>
  <w:style w:type="paragraph" w:styleId="Heading6">
    <w:name w:val="Heading 6"/>
    <w:basedOn w:val="Normal"/>
    <w:next w:val="Normal"/>
    <w:link w:val="Ttulo6Char"/>
    <w:uiPriority w:val="9"/>
    <w:semiHidden/>
    <w:unhideWhenUsed/>
    <w:qFormat/>
    <w:rsid w:val="004276b3"/>
    <w:pPr>
      <w:keepNext w:val="true"/>
      <w:keepLines/>
      <w:spacing w:lineRule="auto" w:line="259" w:before="40" w:after="0"/>
      <w:jc w:val="left"/>
      <w:outlineLvl w:val="5"/>
    </w:pPr>
    <w:rPr>
      <w:rFonts w:ascii="Cambria" w:hAnsi="Cambria" w:eastAsia="" w:cs="" w:asciiTheme="majorHAnsi" w:cstheme="majorBidi" w:eastAsiaTheme="majorEastAsia" w:hAnsiTheme="majorHAnsi"/>
      <w:color w:themeColor="accent1" w:themeShade="7f" w:val="243F6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sid w:val="00cb37ee"/>
    <w:rPr>
      <w:rFonts w:ascii="Calibri" w:hAnsi="Calibri" w:eastAsia="Calibri" w:cs="Times New Roman"/>
    </w:rPr>
  </w:style>
  <w:style w:type="character" w:styleId="RodapChar" w:customStyle="1">
    <w:name w:val="Rodapé Char"/>
    <w:basedOn w:val="DefaultParagraphFont"/>
    <w:uiPriority w:val="99"/>
    <w:qFormat/>
    <w:rsid w:val="00cb37ee"/>
    <w:rPr>
      <w:rFonts w:ascii="Calibri" w:hAnsi="Calibri" w:eastAsia="Calibri" w:cs="Times New Roman"/>
    </w:rPr>
  </w:style>
  <w:style w:type="character" w:styleId="TextodebaloChar" w:customStyle="1">
    <w:name w:val="Texto de balão Char"/>
    <w:basedOn w:val="DefaultParagraphFont"/>
    <w:link w:val="BalloonText"/>
    <w:uiPriority w:val="99"/>
    <w:qFormat/>
    <w:rsid w:val="00cb37ee"/>
    <w:rPr>
      <w:rFonts w:ascii="Tahoma" w:hAnsi="Tahoma" w:eastAsia="Calibri" w:cs="Tahoma"/>
      <w:sz w:val="16"/>
      <w:szCs w:val="16"/>
    </w:rPr>
  </w:style>
  <w:style w:type="character" w:styleId="Ttulo1Char" w:customStyle="1">
    <w:name w:val="Título 1 Char"/>
    <w:basedOn w:val="DefaultParagraphFont"/>
    <w:qFormat/>
    <w:rsid w:val="004276b3"/>
    <w:rPr>
      <w:rFonts w:ascii="Cambria" w:hAnsi="Cambria" w:eastAsia="" w:cs="" w:asciiTheme="majorHAnsi" w:cstheme="majorBidi" w:eastAsiaTheme="majorEastAsia" w:hAnsiTheme="majorHAnsi"/>
      <w:b/>
      <w:bCs/>
      <w:color w:themeColor="accent1" w:themeShade="bf" w:val="365F91"/>
      <w:sz w:val="28"/>
      <w:szCs w:val="28"/>
      <w:lang w:eastAsia="pt-BR"/>
    </w:rPr>
  </w:style>
  <w:style w:type="character" w:styleId="Ttulo2Char" w:customStyle="1">
    <w:name w:val="Título 2 Char"/>
    <w:basedOn w:val="DefaultParagraphFont"/>
    <w:qFormat/>
    <w:rsid w:val="004276b3"/>
    <w:rPr>
      <w:rFonts w:ascii="Times New Roman" w:hAnsi="Times New Roman" w:eastAsia="" w:cs="Times New Roman" w:eastAsiaTheme="minorEastAsia"/>
      <w:b/>
      <w:color w:val="000000"/>
      <w:sz w:val="24"/>
      <w:szCs w:val="20"/>
      <w:lang w:eastAsia="pt-BR"/>
    </w:rPr>
  </w:style>
  <w:style w:type="character" w:styleId="Ttulo3Char" w:customStyle="1">
    <w:name w:val="Título 3 Char"/>
    <w:basedOn w:val="DefaultParagraphFont"/>
    <w:uiPriority w:val="9"/>
    <w:semiHidden/>
    <w:qFormat/>
    <w:rsid w:val="004276b3"/>
    <w:rPr>
      <w:rFonts w:ascii="Cambria" w:hAnsi="Cambria" w:eastAsia="" w:cs="" w:asciiTheme="majorHAnsi" w:cstheme="majorBidi" w:eastAsiaTheme="majorEastAsia" w:hAnsiTheme="majorHAnsi"/>
      <w:color w:themeColor="accent1" w:themeShade="7f" w:val="243F60"/>
      <w:sz w:val="24"/>
      <w:szCs w:val="24"/>
    </w:rPr>
  </w:style>
  <w:style w:type="character" w:styleId="Ttulo4Char" w:customStyle="1">
    <w:name w:val="Título 4 Char"/>
    <w:basedOn w:val="DefaultParagraphFont"/>
    <w:semiHidden/>
    <w:qFormat/>
    <w:rsid w:val="004276b3"/>
    <w:rPr>
      <w:rFonts w:ascii="Cambria" w:hAnsi="Cambria" w:eastAsia="" w:cs="" w:asciiTheme="majorHAnsi" w:cstheme="majorBidi" w:eastAsiaTheme="majorEastAsia" w:hAnsiTheme="majorHAnsi"/>
      <w:i/>
      <w:iCs/>
      <w:color w:themeColor="accent1" w:themeShade="bf" w:val="365F91"/>
      <w:sz w:val="24"/>
      <w:szCs w:val="24"/>
      <w:lang w:eastAsia="pt-BR"/>
    </w:rPr>
  </w:style>
  <w:style w:type="character" w:styleId="Ttulo6Char" w:customStyle="1">
    <w:name w:val="Título 6 Char"/>
    <w:basedOn w:val="DefaultParagraphFont"/>
    <w:uiPriority w:val="9"/>
    <w:semiHidden/>
    <w:qFormat/>
    <w:rsid w:val="004276b3"/>
    <w:rPr>
      <w:rFonts w:ascii="Cambria" w:hAnsi="Cambria" w:eastAsia="" w:cs="" w:asciiTheme="majorHAnsi" w:cstheme="majorBidi" w:eastAsiaTheme="majorEastAsia" w:hAnsiTheme="majorHAnsi"/>
      <w:color w:themeColor="accent1" w:themeShade="7f" w:val="243F60"/>
    </w:rPr>
  </w:style>
  <w:style w:type="character" w:styleId="Normalchar1" w:customStyle="1">
    <w:name w:val="normal__char1"/>
    <w:qFormat/>
    <w:rsid w:val="004276b3"/>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4276b3"/>
    <w:rPr/>
  </w:style>
  <w:style w:type="character" w:styleId="Hyperlink" w:customStyle="1">
    <w:name w:val="Hyperlink"/>
    <w:basedOn w:val="DefaultParagraphFont"/>
    <w:uiPriority w:val="99"/>
    <w:unhideWhenUsed/>
    <w:rsid w:val="004276b3"/>
    <w:rPr>
      <w:color w:themeColor="hyperlink" w:val="0000FF"/>
      <w:u w:val="single"/>
    </w:rPr>
  </w:style>
  <w:style w:type="character" w:styleId="CitaoChar" w:customStyle="1">
    <w:name w:val="Citação Char"/>
    <w:basedOn w:val="DefaultParagraphFont"/>
    <w:link w:val="Quote"/>
    <w:qFormat/>
    <w:rsid w:val="004276b3"/>
    <w:rPr>
      <w:rFonts w:ascii="Arial" w:hAnsi="Arial" w:eastAsia="Calibri" w:cs="Tahoma"/>
      <w:i/>
      <w:iCs/>
      <w:color w:val="000000"/>
      <w:sz w:val="20"/>
      <w:szCs w:val="24"/>
      <w:shd w:fill="FFFFCC" w:val="clear"/>
    </w:rPr>
  </w:style>
  <w:style w:type="character" w:styleId="NotaexplicativaChar" w:customStyle="1">
    <w:name w:val="Nota explicativa Char"/>
    <w:basedOn w:val="CitaoChar"/>
    <w:link w:val="Notaexplicativa"/>
    <w:qFormat/>
    <w:rsid w:val="004276b3"/>
    <w:rPr>
      <w:rFonts w:ascii="Arial" w:hAnsi="Arial" w:eastAsia="Calibri" w:cs="Tahoma"/>
      <w:i/>
      <w:iCs/>
      <w:color w:val="000000"/>
      <w:sz w:val="20"/>
      <w:szCs w:val="20"/>
      <w:shd w:fill="FFFFCC" w:val="clear"/>
    </w:rPr>
  </w:style>
  <w:style w:type="character" w:styleId="Annotationreference">
    <w:name w:val="annotation reference"/>
    <w:basedOn w:val="DefaultParagraphFont"/>
    <w:unhideWhenUsed/>
    <w:qFormat/>
    <w:rsid w:val="004276b3"/>
    <w:rPr>
      <w:sz w:val="16"/>
      <w:szCs w:val="16"/>
    </w:rPr>
  </w:style>
  <w:style w:type="character" w:styleId="TextodecomentrioChar" w:customStyle="1">
    <w:name w:val="Texto de comentário Char"/>
    <w:basedOn w:val="DefaultParagraphFont"/>
    <w:link w:val="Annotationtext"/>
    <w:qFormat/>
    <w:rsid w:val="004276b3"/>
    <w:rPr>
      <w:rFonts w:ascii="Ecofont_Spranq_eco_Sans" w:hAnsi="Ecofont_Spranq_eco_Sans" w:eastAsia="" w:cs="Tahoma" w:eastAsiaTheme="minorEastAsia"/>
      <w:sz w:val="20"/>
      <w:szCs w:val="20"/>
      <w:lang w:eastAsia="pt-BR"/>
    </w:rPr>
  </w:style>
  <w:style w:type="character" w:styleId="AssuntodocomentrioChar" w:customStyle="1">
    <w:name w:val="Assunto do comentário Char"/>
    <w:basedOn w:val="TextodecomentrioChar"/>
    <w:link w:val="Annotationsubject"/>
    <w:semiHidden/>
    <w:qFormat/>
    <w:rsid w:val="004276b3"/>
    <w:rPr>
      <w:rFonts w:ascii="Ecofont_Spranq_eco_Sans" w:hAnsi="Ecofont_Spranq_eco_Sans" w:eastAsia="" w:cs="Tahoma" w:eastAsiaTheme="minorEastAsia"/>
      <w:b/>
      <w:bCs/>
      <w:sz w:val="20"/>
      <w:szCs w:val="20"/>
      <w:lang w:eastAsia="pt-BR"/>
    </w:rPr>
  </w:style>
  <w:style w:type="character" w:styleId="TtuloChar" w:customStyle="1">
    <w:name w:val="Título Char"/>
    <w:basedOn w:val="DefaultParagraphFont"/>
    <w:uiPriority w:val="10"/>
    <w:qFormat/>
    <w:rsid w:val="004276b3"/>
    <w:rPr>
      <w:rFonts w:ascii="Cambria" w:hAnsi="Cambria" w:eastAsia="" w:cs="" w:asciiTheme="majorHAnsi" w:cstheme="majorBidi" w:eastAsiaTheme="majorEastAsia" w:hAnsiTheme="majorHAnsi"/>
      <w:color w:themeColor="text2" w:themeShade="bf" w:val="17365D"/>
      <w:spacing w:val="5"/>
      <w:kern w:val="2"/>
      <w:sz w:val="52"/>
      <w:szCs w:val="52"/>
      <w:lang w:eastAsia="pt-BR"/>
    </w:rPr>
  </w:style>
  <w:style w:type="character" w:styleId="Nivel01Char" w:customStyle="1">
    <w:name w:val="Nivel 01 Char"/>
    <w:basedOn w:val="TtuloChar"/>
    <w:link w:val="Nivel01"/>
    <w:qFormat/>
    <w:rsid w:val="004276b3"/>
    <w:rPr>
      <w:rFonts w:ascii="Arial" w:hAnsi="Arial" w:eastAsia="" w:cs="Arial" w:eastAsiaTheme="majorEastAsia"/>
      <w:b/>
      <w:bCs/>
      <w:color w:themeColor="text2" w:themeShade="bf" w:val="17365D"/>
      <w:spacing w:val="5"/>
      <w:kern w:val="2"/>
      <w:sz w:val="20"/>
      <w:szCs w:val="20"/>
      <w:lang w:eastAsia="pt-BR"/>
    </w:rPr>
  </w:style>
  <w:style w:type="character" w:styleId="Nivel01TituloChar" w:customStyle="1">
    <w:name w:val="Nivel_01_Titulo Char"/>
    <w:basedOn w:val="Nivel01Char"/>
    <w:link w:val="Nivel01Titulo"/>
    <w:qFormat/>
    <w:rsid w:val="004276b3"/>
    <w:rPr>
      <w:rFonts w:ascii="Arial" w:hAnsi="Arial" w:eastAsia="" w:cs="" w:cstheme="majorBidi" w:eastAsiaTheme="majorEastAsia"/>
      <w:b/>
      <w:bCs/>
      <w:color w:themeColor="text1" w:val="000000"/>
      <w:spacing w:val="5"/>
      <w:kern w:val="2"/>
      <w:sz w:val="52"/>
      <w:szCs w:val="52"/>
      <w:lang w:eastAsia="pt-BR"/>
    </w:rPr>
  </w:style>
  <w:style w:type="character" w:styleId="QuoteChar" w:customStyle="1">
    <w:name w:val="Quote Char"/>
    <w:basedOn w:val="DefaultParagraphFont"/>
    <w:link w:val="Citao1"/>
    <w:qFormat/>
    <w:rsid w:val="004276b3"/>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4276b3"/>
    <w:rPr/>
  </w:style>
  <w:style w:type="character" w:styleId="Eop" w:customStyle="1">
    <w:name w:val="eop"/>
    <w:basedOn w:val="DefaultParagraphFont"/>
    <w:qFormat/>
    <w:rsid w:val="004276b3"/>
    <w:rPr/>
  </w:style>
  <w:style w:type="character" w:styleId="Spellingerror" w:customStyle="1">
    <w:name w:val="spellingerror"/>
    <w:basedOn w:val="DefaultParagraphFont"/>
    <w:qFormat/>
    <w:rsid w:val="004276b3"/>
    <w:rPr/>
  </w:style>
  <w:style w:type="character" w:styleId="CorpodetextoChar" w:customStyle="1">
    <w:name w:val="Corpo de texto Char"/>
    <w:basedOn w:val="DefaultParagraphFont"/>
    <w:qFormat/>
    <w:rsid w:val="004276b3"/>
    <w:rPr>
      <w:rFonts w:ascii="Times New Roman" w:hAnsi="Times New Roman" w:eastAsia="Times New Roman" w:cs="Times New Roman"/>
      <w:sz w:val="24"/>
      <w:szCs w:val="24"/>
      <w:lang w:eastAsia="pt-BR"/>
    </w:rPr>
  </w:style>
  <w:style w:type="character" w:styleId="Nivel1Char" w:customStyle="1">
    <w:name w:val="Nivel1 Char"/>
    <w:basedOn w:val="Ttulo1Char"/>
    <w:link w:val="Nivel1"/>
    <w:qFormat/>
    <w:rsid w:val="004276b3"/>
    <w:rPr>
      <w:rFonts w:ascii="Arial" w:hAnsi="Arial" w:eastAsia="" w:cs="Arial" w:eastAsiaTheme="majorEastAsia"/>
      <w:b/>
      <w:bCs w:val="false"/>
      <w:color w:themeColor="accent1" w:themeShade="bf" w:val="000000"/>
      <w:sz w:val="28"/>
      <w:szCs w:val="28"/>
      <w:lang w:eastAsia="pt-BR"/>
    </w:rPr>
  </w:style>
  <w:style w:type="character" w:styleId="Nivel4Char" w:customStyle="1">
    <w:name w:val="Nivel 4 Char"/>
    <w:basedOn w:val="DefaultParagraphFont"/>
    <w:link w:val="Nivel4"/>
    <w:qFormat/>
    <w:rsid w:val="004276b3"/>
    <w:rPr>
      <w:rFonts w:ascii="Arial" w:hAnsi="Arial" w:eastAsia="" w:cs="Arial" w:eastAsiaTheme="minorEastAsia"/>
      <w:sz w:val="20"/>
      <w:szCs w:val="20"/>
      <w:lang w:eastAsia="pt-BR"/>
    </w:rPr>
  </w:style>
  <w:style w:type="character" w:styleId="Cp0020corpodespachochar1" w:customStyle="1">
    <w:name w:val="cp_0020corpodespacho__char1"/>
    <w:qFormat/>
    <w:rsid w:val="004276b3"/>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4276b3"/>
    <w:rPr>
      <w:rFonts w:ascii="Times New Roman" w:hAnsi="Times New Roman" w:cs="Times New Roman"/>
      <w:strike w:val="false"/>
      <w:dstrike w:val="false"/>
      <w:sz w:val="28"/>
      <w:szCs w:val="28"/>
      <w:u w:val="none"/>
      <w:effect w:val="none"/>
    </w:rPr>
  </w:style>
  <w:style w:type="character" w:styleId="Strong">
    <w:name w:val="Strong"/>
    <w:basedOn w:val="DefaultParagraphFont"/>
    <w:uiPriority w:val="22"/>
    <w:qFormat/>
    <w:rsid w:val="004276b3"/>
    <w:rPr>
      <w:b/>
      <w:bCs/>
    </w:rPr>
  </w:style>
  <w:style w:type="character" w:styleId="Emphasis">
    <w:name w:val="Emphasis"/>
    <w:basedOn w:val="DefaultParagraphFont"/>
    <w:qFormat/>
    <w:rsid w:val="004276b3"/>
    <w:rPr>
      <w:i/>
      <w:iCs/>
    </w:rPr>
  </w:style>
  <w:style w:type="character" w:styleId="Manoel" w:customStyle="1">
    <w:name w:val="Manoel"/>
    <w:qFormat/>
    <w:rsid w:val="004276b3"/>
    <w:rPr>
      <w:rFonts w:ascii="Arial" w:hAnsi="Arial" w:cs="Arial"/>
      <w:color w:val="7030A0"/>
      <w:sz w:val="20"/>
    </w:rPr>
  </w:style>
  <w:style w:type="character" w:styleId="GradeColorida-nfase1Char" w:customStyle="1">
    <w:name w:val="Grade Colorida - Ênfase 1 Char"/>
    <w:link w:val="GradeColorida-nfase11"/>
    <w:uiPriority w:val="29"/>
    <w:qFormat/>
    <w:rsid w:val="004276b3"/>
    <w:rPr>
      <w:rFonts w:ascii="Arial" w:hAnsi="Arial" w:eastAsia="Calibri" w:cs="Times New Roman"/>
      <w:i/>
      <w:iCs/>
      <w:color w:val="000000"/>
      <w:sz w:val="20"/>
      <w:szCs w:val="24"/>
      <w:shd w:fill="FFFFCC" w:val="clear"/>
    </w:rPr>
  </w:style>
  <w:style w:type="character" w:styleId="Highlight" w:customStyle="1">
    <w:name w:val="highlight"/>
    <w:basedOn w:val="DefaultParagraphFont"/>
    <w:qFormat/>
    <w:rsid w:val="004276b3"/>
    <w:rPr/>
  </w:style>
  <w:style w:type="character" w:styleId="FollowedHyperlink">
    <w:name w:val="FollowedHyperlink"/>
    <w:basedOn w:val="DefaultParagraphFont"/>
    <w:semiHidden/>
    <w:unhideWhenUsed/>
    <w:rsid w:val="004276b3"/>
    <w:rPr>
      <w:color w:themeColor="followedHyperlink" w:val="800080"/>
      <w:u w:val="single"/>
    </w:rPr>
  </w:style>
  <w:style w:type="character" w:styleId="MenoPendente1" w:customStyle="1">
    <w:name w:val="Menção Pendente1"/>
    <w:basedOn w:val="DefaultParagraphFont"/>
    <w:uiPriority w:val="99"/>
    <w:semiHidden/>
    <w:unhideWhenUsed/>
    <w:qFormat/>
    <w:rsid w:val="004276b3"/>
    <w:rPr>
      <w:color w:val="605E5C"/>
      <w:shd w:fill="E1DFDD" w:val="clear"/>
    </w:rPr>
  </w:style>
  <w:style w:type="character" w:styleId="MenoPendente2" w:customStyle="1">
    <w:name w:val="Menção Pendente2"/>
    <w:basedOn w:val="DefaultParagraphFont"/>
    <w:uiPriority w:val="99"/>
    <w:semiHidden/>
    <w:unhideWhenUsed/>
    <w:qFormat/>
    <w:rsid w:val="004276b3"/>
    <w:rPr>
      <w:color w:val="605E5C"/>
      <w:shd w:fill="E1DFDD" w:val="clear"/>
    </w:rPr>
  </w:style>
  <w:style w:type="character" w:styleId="Nivel2Char" w:customStyle="1">
    <w:name w:val="Nivel 2 Char"/>
    <w:basedOn w:val="DefaultParagraphFont"/>
    <w:link w:val="Nivel2"/>
    <w:qFormat/>
    <w:locked/>
    <w:rsid w:val="004276b3"/>
    <w:rPr>
      <w:rFonts w:ascii="Arial" w:hAnsi="Arial" w:eastAsia="" w:cs="Arial" w:eastAsiaTheme="minorEastAsia"/>
      <w:color w:val="000000"/>
      <w:sz w:val="20"/>
      <w:szCs w:val="20"/>
      <w:lang w:eastAsia="pt-BR"/>
    </w:rPr>
  </w:style>
  <w:style w:type="character" w:styleId="Nvel2OpcionalChar" w:customStyle="1">
    <w:name w:val="Nível 2 Opcional Char"/>
    <w:basedOn w:val="DefaultParagraphFont"/>
    <w:link w:val="Nvel2Opcional"/>
    <w:qFormat/>
    <w:rsid w:val="004276b3"/>
    <w:rPr>
      <w:rFonts w:ascii="Arial" w:hAnsi="Arial" w:eastAsia="Times New Roman" w:cs="Arial"/>
      <w:i/>
      <w:color w:val="FF0000"/>
      <w:sz w:val="20"/>
      <w:szCs w:val="20"/>
      <w:lang w:eastAsia="pt-BR"/>
    </w:rPr>
  </w:style>
  <w:style w:type="character" w:styleId="Nvel3OpcionalChar" w:customStyle="1">
    <w:name w:val="Nível 3 Opcional Char"/>
    <w:basedOn w:val="DefaultParagraphFont"/>
    <w:link w:val="Nvel3Opcional"/>
    <w:qFormat/>
    <w:rsid w:val="004276b3"/>
    <w:rPr>
      <w:rFonts w:ascii="Arial" w:hAnsi="Arial" w:eastAsia="Times New Roman" w:cs="Arial"/>
      <w:i/>
      <w:iCs/>
      <w:color w:val="FF0000"/>
      <w:sz w:val="20"/>
      <w:szCs w:val="20"/>
      <w:lang w:eastAsia="pt-BR"/>
    </w:rPr>
  </w:style>
  <w:style w:type="character" w:styleId="PlaceholderText">
    <w:name w:val="Placeholder Text"/>
    <w:basedOn w:val="DefaultParagraphFont"/>
    <w:uiPriority w:val="67"/>
    <w:semiHidden/>
    <w:qFormat/>
    <w:rsid w:val="004276b3"/>
    <w:rPr>
      <w:color w:val="808080"/>
    </w:rPr>
  </w:style>
  <w:style w:type="character" w:styleId="PargrafodaListaChar" w:customStyle="1">
    <w:name w:val="Parágrafo da Lista Char"/>
    <w:basedOn w:val="DefaultParagraphFont"/>
    <w:link w:val="ListParagraph"/>
    <w:uiPriority w:val="34"/>
    <w:qFormat/>
    <w:rsid w:val="004276b3"/>
    <w:rPr>
      <w:rFonts w:ascii="Times New Roman" w:hAnsi="Times New Roman" w:eastAsia="Times New Roman" w:cs="Times New Roman"/>
      <w:sz w:val="20"/>
      <w:szCs w:val="20"/>
      <w:lang w:eastAsia="pt-BR"/>
    </w:rPr>
  </w:style>
  <w:style w:type="character" w:styleId="Markedcontent" w:customStyle="1">
    <w:name w:val="markedcontent"/>
    <w:basedOn w:val="DefaultParagraphFont"/>
    <w:qFormat/>
    <w:rsid w:val="004276b3"/>
    <w:rPr/>
  </w:style>
  <w:style w:type="character" w:styleId="MenoPendente3" w:customStyle="1">
    <w:name w:val="Menção Pendente3"/>
    <w:basedOn w:val="DefaultParagraphFont"/>
    <w:uiPriority w:val="99"/>
    <w:semiHidden/>
    <w:unhideWhenUsed/>
    <w:qFormat/>
    <w:rsid w:val="004276b3"/>
    <w:rPr>
      <w:color w:val="605E5C"/>
      <w:shd w:fill="E1DFDD" w:val="clear"/>
    </w:rPr>
  </w:style>
  <w:style w:type="character" w:styleId="MenoPendente4" w:customStyle="1">
    <w:name w:val="Menção Pendente4"/>
    <w:basedOn w:val="DefaultParagraphFont"/>
    <w:uiPriority w:val="99"/>
    <w:semiHidden/>
    <w:unhideWhenUsed/>
    <w:qFormat/>
    <w:rsid w:val="004276b3"/>
    <w:rPr>
      <w:color w:val="605E5C"/>
      <w:shd w:fill="E1DFDD" w:val="clear"/>
    </w:rPr>
  </w:style>
  <w:style w:type="character" w:styleId="OuChar" w:customStyle="1">
    <w:name w:val="ou Char"/>
    <w:basedOn w:val="PargrafodaListaChar"/>
    <w:link w:val="Ou"/>
    <w:qFormat/>
    <w:rsid w:val="004276b3"/>
    <w:rPr>
      <w:rFonts w:ascii="Arial" w:hAnsi="Arial" w:eastAsia="Times New Roman" w:cs="Arial"/>
      <w:b/>
      <w:bCs/>
      <w:i/>
      <w:iCs/>
      <w:color w:val="FF0000"/>
      <w:sz w:val="24"/>
      <w:szCs w:val="24"/>
      <w:u w:val="single"/>
      <w:lang w:eastAsia="pt-BR"/>
    </w:rPr>
  </w:style>
  <w:style w:type="character" w:styleId="Nvel2-RedChar" w:customStyle="1">
    <w:name w:val="Nível 2 -Red Char"/>
    <w:basedOn w:val="Nivel2Char"/>
    <w:link w:val="Nvel2-Red"/>
    <w:qFormat/>
    <w:rsid w:val="004276b3"/>
    <w:rPr>
      <w:rFonts w:ascii="Arial" w:hAnsi="Arial" w:eastAsia="" w:cs="Arial" w:eastAsiaTheme="minorEastAsia"/>
      <w:i/>
      <w:iCs/>
      <w:color w:val="FF0000"/>
      <w:sz w:val="20"/>
      <w:szCs w:val="20"/>
      <w:lang w:eastAsia="pt-BR"/>
    </w:rPr>
  </w:style>
  <w:style w:type="character" w:styleId="Nivel3Char" w:customStyle="1">
    <w:name w:val="Nivel 3 Char"/>
    <w:basedOn w:val="DefaultParagraphFont"/>
    <w:link w:val="Nivel3"/>
    <w:qFormat/>
    <w:rsid w:val="004276b3"/>
    <w:rPr>
      <w:rFonts w:ascii="Arial" w:hAnsi="Arial" w:eastAsia="" w:cs="Arial" w:eastAsiaTheme="minorEastAsia"/>
      <w:color w:val="000000"/>
      <w:sz w:val="20"/>
      <w:szCs w:val="20"/>
      <w:lang w:eastAsia="pt-BR"/>
    </w:rPr>
  </w:style>
  <w:style w:type="character" w:styleId="Nvel3-RChar" w:customStyle="1">
    <w:name w:val="Nível 3-R Char"/>
    <w:basedOn w:val="Nivel3Char"/>
    <w:link w:val="Nvel3-R"/>
    <w:qFormat/>
    <w:rsid w:val="004276b3"/>
    <w:rPr>
      <w:rFonts w:ascii="Arial" w:hAnsi="Arial" w:eastAsia="" w:cs="Arial" w:eastAsiaTheme="minorEastAsia"/>
      <w:i/>
      <w:iCs/>
      <w:color w:val="FF0000"/>
      <w:sz w:val="20"/>
      <w:szCs w:val="20"/>
      <w:lang w:eastAsia="pt-BR"/>
    </w:rPr>
  </w:style>
  <w:style w:type="character" w:styleId="Nvel4-RChar" w:customStyle="1">
    <w:name w:val="Nível 4-R Char"/>
    <w:basedOn w:val="Nivel4Char"/>
    <w:link w:val="Nvel4-R"/>
    <w:qFormat/>
    <w:rsid w:val="004276b3"/>
    <w:rPr>
      <w:rFonts w:ascii="Arial" w:hAnsi="Arial" w:eastAsia="" w:cs="Arial" w:eastAsiaTheme="minorEastAsia"/>
      <w:i/>
      <w:iCs/>
      <w:color w:val="FF0000"/>
      <w:sz w:val="20"/>
      <w:szCs w:val="20"/>
      <w:lang w:eastAsia="pt-BR"/>
    </w:rPr>
  </w:style>
  <w:style w:type="character" w:styleId="Nvel1-SemNumChar" w:customStyle="1">
    <w:name w:val="Nível 1-Sem Num Char"/>
    <w:basedOn w:val="Nivel01Char"/>
    <w:link w:val="Nvel1-SemNum"/>
    <w:qFormat/>
    <w:rsid w:val="004276b3"/>
    <w:rPr>
      <w:rFonts w:ascii="Arial" w:hAnsi="Arial" w:eastAsia="" w:cs="Arial" w:eastAsiaTheme="majorEastAsia"/>
      <w:b/>
      <w:bCs/>
      <w:color w:themeColor="text2" w:themeShade="bf" w:val="FF0000"/>
      <w:spacing w:val="5"/>
      <w:kern w:val="2"/>
      <w:sz w:val="20"/>
      <w:szCs w:val="20"/>
      <w:lang w:eastAsia="pt-BR"/>
    </w:rPr>
  </w:style>
  <w:style w:type="character" w:styleId="PrembuloChar" w:customStyle="1">
    <w:name w:val="Preâmbulo Char"/>
    <w:basedOn w:val="DefaultParagraphFont"/>
    <w:link w:val="Prembulo"/>
    <w:qFormat/>
    <w:rsid w:val="004276b3"/>
    <w:rPr>
      <w:rFonts w:ascii="Arial" w:hAnsi="Arial" w:eastAsia="Arial" w:cs="Arial"/>
      <w:bCs/>
      <w:sz w:val="20"/>
      <w:szCs w:val="20"/>
      <w:lang w:eastAsia="pt-BR"/>
    </w:rPr>
  </w:style>
  <w:style w:type="character" w:styleId="MenoPendente5" w:customStyle="1">
    <w:name w:val="Menção Pendente5"/>
    <w:basedOn w:val="DefaultParagraphFont"/>
    <w:uiPriority w:val="99"/>
    <w:semiHidden/>
    <w:unhideWhenUsed/>
    <w:qFormat/>
    <w:rsid w:val="004276b3"/>
    <w:rPr>
      <w:color w:val="605E5C"/>
      <w:shd w:fill="E1DFDD" w:val="clear"/>
    </w:rPr>
  </w:style>
  <w:style w:type="character" w:styleId="Citao2Char" w:customStyle="1">
    <w:name w:val="citação 2 Char"/>
    <w:basedOn w:val="CitaoChar"/>
    <w:link w:val="Citao2"/>
    <w:qFormat/>
    <w:rsid w:val="004276b3"/>
    <w:rPr>
      <w:rFonts w:ascii="Arial" w:hAnsi="Arial" w:eastAsia="Calibri" w:cs="Tahoma"/>
      <w:i/>
      <w:iCs/>
      <w:color w:val="000000"/>
      <w:sz w:val="20"/>
      <w:szCs w:val="20"/>
      <w:shd w:fill="FFFFCC" w:val="clear"/>
    </w:rPr>
  </w:style>
  <w:style w:type="character" w:styleId="MenoPendente6" w:customStyle="1">
    <w:name w:val="Menção Pendente6"/>
    <w:basedOn w:val="DefaultParagraphFont"/>
    <w:uiPriority w:val="99"/>
    <w:semiHidden/>
    <w:unhideWhenUsed/>
    <w:qFormat/>
    <w:rsid w:val="004276b3"/>
    <w:rPr>
      <w:color w:val="605E5C"/>
      <w:shd w:fill="E1DFDD" w:val="clear"/>
    </w:rPr>
  </w:style>
  <w:style w:type="character" w:styleId="Mentionnonrsolue1" w:customStyle="1">
    <w:name w:val="Mention non résolue1"/>
    <w:basedOn w:val="DefaultParagraphFont"/>
    <w:uiPriority w:val="99"/>
    <w:semiHidden/>
    <w:unhideWhenUsed/>
    <w:qFormat/>
    <w:rsid w:val="004276b3"/>
    <w:rPr>
      <w:color w:val="605E5C"/>
      <w:shd w:fill="E1DFDD" w:val="clear"/>
    </w:rPr>
  </w:style>
  <w:style w:type="character" w:styleId="UnresolvedMention">
    <w:name w:val="Unresolved Mention"/>
    <w:basedOn w:val="DefaultParagraphFont"/>
    <w:uiPriority w:val="99"/>
    <w:semiHidden/>
    <w:unhideWhenUsed/>
    <w:qFormat/>
    <w:rsid w:val="004276b3"/>
    <w:rPr>
      <w:color w:val="605E5C"/>
      <w:shd w:fill="E1DFDD" w:val="clear"/>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unhideWhenUsed/>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link w:val="PargrafodaListaChar"/>
    <w:uiPriority w:val="34"/>
    <w:qFormat/>
    <w:rsid w:val="00cb37ee"/>
    <w:pPr>
      <w:spacing w:lineRule="auto" w:line="240"/>
      <w:ind w:left="708"/>
      <w:jc w:val="left"/>
    </w:pPr>
    <w:rPr>
      <w:rFonts w:ascii="Times New Roman" w:hAnsi="Times New Roman" w:eastAsia="Times New Roman"/>
      <w:sz w:val="20"/>
      <w:szCs w:val="20"/>
      <w:lang w:eastAsia="pt-BR"/>
    </w:rPr>
  </w:style>
  <w:style w:type="paragraph" w:styleId="Default" w:customStyle="1">
    <w:name w:val="Default"/>
    <w:qFormat/>
    <w:rsid w:val="00cb37ee"/>
    <w:pPr>
      <w:widowControl/>
      <w:bidi w:val="0"/>
      <w:spacing w:lineRule="auto" w:line="240" w:before="0" w:after="0"/>
      <w:jc w:val="left"/>
    </w:pPr>
    <w:rPr>
      <w:rFonts w:ascii="Garamond" w:hAnsi="Garamond" w:eastAsia="Times New Roman" w:cs="Garamond"/>
      <w:color w:val="000000"/>
      <w:kern w:val="0"/>
      <w:sz w:val="24"/>
      <w:szCs w:val="24"/>
      <w:lang w:eastAsia="pt-BR" w:val="pt-BR" w:bidi="ar-SA"/>
    </w:rPr>
  </w:style>
  <w:style w:type="paragraph" w:styleId="CabealhoeRodap">
    <w:name w:val="Cabeçalho e Rodapé"/>
    <w:basedOn w:val="Normal"/>
    <w:qFormat/>
    <w:pPr/>
    <w:rPr/>
  </w:style>
  <w:style w:type="paragraph" w:styleId="Header">
    <w:name w:val="Header"/>
    <w:basedOn w:val="Normal"/>
    <w:link w:val="CabealhoChar"/>
    <w:unhideWhenUsed/>
    <w:rsid w:val="00cb37ee"/>
    <w:pPr>
      <w:tabs>
        <w:tab w:val="clear" w:pos="708"/>
        <w:tab w:val="center" w:pos="4252" w:leader="none"/>
        <w:tab w:val="right" w:pos="8504" w:leader="none"/>
      </w:tabs>
      <w:spacing w:lineRule="auto" w:line="240"/>
    </w:pPr>
    <w:rPr/>
  </w:style>
  <w:style w:type="paragraph" w:styleId="Footer">
    <w:name w:val="Footer"/>
    <w:basedOn w:val="Normal"/>
    <w:link w:val="RodapChar"/>
    <w:uiPriority w:val="99"/>
    <w:unhideWhenUsed/>
    <w:rsid w:val="00cb37ee"/>
    <w:pPr>
      <w:tabs>
        <w:tab w:val="clear" w:pos="708"/>
        <w:tab w:val="center" w:pos="4252" w:leader="none"/>
        <w:tab w:val="right" w:pos="8504" w:leader="none"/>
      </w:tabs>
      <w:spacing w:lineRule="auto" w:line="240"/>
    </w:pPr>
    <w:rPr/>
  </w:style>
  <w:style w:type="paragraph" w:styleId="BalloonText">
    <w:name w:val="Balloon Text"/>
    <w:basedOn w:val="Normal"/>
    <w:link w:val="TextodebaloChar"/>
    <w:uiPriority w:val="99"/>
    <w:unhideWhenUsed/>
    <w:qFormat/>
    <w:rsid w:val="00cb37ee"/>
    <w:pPr>
      <w:spacing w:lineRule="auto" w:line="240"/>
    </w:pPr>
    <w:rPr>
      <w:rFonts w:ascii="Tahoma" w:hAnsi="Tahoma" w:cs="Tahoma"/>
      <w:sz w:val="16"/>
      <w:szCs w:val="16"/>
    </w:rPr>
  </w:style>
  <w:style w:type="paragraph" w:styleId="NormalWeb">
    <w:name w:val="Normal (Web)"/>
    <w:basedOn w:val="Normal"/>
    <w:uiPriority w:val="99"/>
    <w:qFormat/>
    <w:rsid w:val="004276b3"/>
    <w:pPr>
      <w:spacing w:lineRule="auto" w:line="240" w:beforeAutospacing="1" w:afterAutospacing="1"/>
      <w:jc w:val="left"/>
    </w:pPr>
    <w:rPr>
      <w:rFonts w:ascii="Times New Roman" w:hAnsi="Times New Roman" w:eastAsia="" w:eastAsiaTheme="minorEastAsia"/>
      <w:sz w:val="24"/>
      <w:szCs w:val="24"/>
      <w:lang w:eastAsia="pt-BR"/>
    </w:rPr>
  </w:style>
  <w:style w:type="paragraph" w:styleId="Nvel2" w:customStyle="1">
    <w:name w:val="Nível 2"/>
    <w:basedOn w:val="Normal"/>
    <w:next w:val="Normal"/>
    <w:qFormat/>
    <w:rsid w:val="004276b3"/>
    <w:pPr>
      <w:spacing w:lineRule="auto" w:line="240" w:before="0" w:after="120"/>
    </w:pPr>
    <w:rPr>
      <w:rFonts w:ascii="Arial" w:hAnsi="Arial" w:eastAsia="" w:eastAsiaTheme="minorEastAsia"/>
      <w:b/>
      <w:sz w:val="24"/>
      <w:szCs w:val="20"/>
      <w:lang w:eastAsia="pt-BR"/>
    </w:rPr>
  </w:style>
  <w:style w:type="paragraph" w:styleId="Quote">
    <w:name w:val="Quote"/>
    <w:basedOn w:val="Normal"/>
    <w:next w:val="Normal"/>
    <w:link w:val="CitaoChar"/>
    <w:qFormat/>
    <w:rsid w:val="004276b3"/>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pPr>
    <w:rPr>
      <w:rFonts w:ascii="Arial" w:hAnsi="Arial" w:cs="Tahoma"/>
      <w:i/>
      <w:iCs/>
      <w:color w:val="000000"/>
      <w:sz w:val="20"/>
      <w:szCs w:val="24"/>
    </w:rPr>
  </w:style>
  <w:style w:type="paragraph" w:styleId="ListBullet5">
    <w:name w:val="List Bullet 5"/>
    <w:basedOn w:val="Normal"/>
    <w:rsid w:val="004276b3"/>
    <w:pPr>
      <w:numPr>
        <w:ilvl w:val="0"/>
        <w:numId w:val="2"/>
      </w:numPr>
      <w:spacing w:lineRule="auto" w:line="240" w:before="0" w:after="0"/>
      <w:contextualSpacing/>
      <w:jc w:val="left"/>
    </w:pPr>
    <w:rPr>
      <w:rFonts w:ascii="Ecofont_Spranq_eco_Sans" w:hAnsi="Ecofont_Spranq_eco_Sans" w:eastAsia="" w:cs="Tahoma" w:eastAsiaTheme="minorEastAsia"/>
      <w:sz w:val="24"/>
      <w:szCs w:val="24"/>
      <w:lang w:eastAsia="pt-BR"/>
    </w:rPr>
  </w:style>
  <w:style w:type="paragraph" w:styleId="Notaexplicativa" w:customStyle="1">
    <w:name w:val="Nota explicativa"/>
    <w:basedOn w:val="Quote"/>
    <w:link w:val="NotaexplicativaChar"/>
    <w:qFormat/>
    <w:rsid w:val="004276b3"/>
    <w:pPr/>
    <w:rPr>
      <w:szCs w:val="20"/>
    </w:rPr>
  </w:style>
  <w:style w:type="paragraph" w:styleId="Annotationtext">
    <w:name w:val="annotation text"/>
    <w:basedOn w:val="Normal"/>
    <w:link w:val="TextodecomentrioChar"/>
    <w:unhideWhenUsed/>
    <w:qFormat/>
    <w:rsid w:val="004276b3"/>
    <w:pPr>
      <w:spacing w:lineRule="auto" w:line="240"/>
      <w:jc w:val="left"/>
    </w:pPr>
    <w:rPr>
      <w:rFonts w:ascii="Ecofont_Spranq_eco_Sans" w:hAnsi="Ecofont_Spranq_eco_Sans" w:eastAsia="" w:cs="Tahoma" w:eastAsiaTheme="minorEastAsia"/>
      <w:sz w:val="20"/>
      <w:szCs w:val="20"/>
      <w:lang w:eastAsia="pt-BR"/>
    </w:rPr>
  </w:style>
  <w:style w:type="paragraph" w:styleId="Annotationsubject">
    <w:name w:val="annotation subject"/>
    <w:basedOn w:val="Annotationtext"/>
    <w:next w:val="Annotationtext"/>
    <w:link w:val="AssuntodocomentrioChar"/>
    <w:semiHidden/>
    <w:unhideWhenUsed/>
    <w:qFormat/>
    <w:rsid w:val="004276b3"/>
    <w:pPr/>
    <w:rPr>
      <w:b/>
      <w:bCs/>
    </w:rPr>
  </w:style>
  <w:style w:type="paragraph" w:styleId="Nivel01" w:customStyle="1">
    <w:name w:val="Nivel 01"/>
    <w:basedOn w:val="Heading1"/>
    <w:next w:val="Normal"/>
    <w:link w:val="Nivel01Char"/>
    <w:qFormat/>
    <w:rsid w:val="004276b3"/>
    <w:pPr>
      <w:numPr>
        <w:ilvl w:val="0"/>
        <w:numId w:val="1"/>
      </w:numPr>
      <w:tabs>
        <w:tab w:val="clear" w:pos="708"/>
        <w:tab w:val="left" w:pos="567" w:leader="none"/>
      </w:tabs>
      <w:spacing w:before="240" w:after="0"/>
      <w:ind w:hanging="0" w:left="0"/>
      <w:jc w:val="both"/>
    </w:pPr>
    <w:rPr>
      <w:rFonts w:ascii="Arial" w:hAnsi="Arial" w:cs="Arial"/>
      <w:color w:themeColor="text2" w:themeShade="bf" w:val="17365D"/>
      <w:spacing w:val="5"/>
      <w:kern w:val="2"/>
      <w:sz w:val="20"/>
      <w:szCs w:val="20"/>
    </w:rPr>
  </w:style>
  <w:style w:type="paragraph" w:styleId="Nivel01Titulo" w:customStyle="1">
    <w:name w:val="Nivel_01_Titulo"/>
    <w:basedOn w:val="Nivel01"/>
    <w:link w:val="Nivel01TituloChar"/>
    <w:qFormat/>
    <w:rsid w:val="004276b3"/>
    <w:pPr>
      <w:jc w:val="left"/>
    </w:pPr>
    <w:rPr>
      <w:rFonts w:cs="" w:cstheme="majorBidi"/>
      <w:color w:themeColor="text1" w:val="000000"/>
      <w:sz w:val="52"/>
      <w:szCs w:val="52"/>
    </w:rPr>
  </w:style>
  <w:style w:type="paragraph" w:styleId="Title">
    <w:name w:val="Title"/>
    <w:basedOn w:val="Normal"/>
    <w:next w:val="Normal"/>
    <w:link w:val="TtuloChar"/>
    <w:uiPriority w:val="10"/>
    <w:qFormat/>
    <w:rsid w:val="004276b3"/>
    <w:pPr>
      <w:pBdr>
        <w:bottom w:val="single" w:sz="8" w:space="4" w:color="4F81BD" w:themeColor="accent1"/>
      </w:pBdr>
      <w:spacing w:lineRule="auto" w:line="240" w:before="0" w:after="300"/>
      <w:contextualSpacing/>
      <w:jc w:val="left"/>
    </w:pPr>
    <w:rPr>
      <w:rFonts w:ascii="Cambria" w:hAnsi="Cambria" w:eastAsia="" w:cs="" w:asciiTheme="majorHAnsi" w:cstheme="majorBidi" w:eastAsiaTheme="majorEastAsia" w:hAnsiTheme="majorHAnsi"/>
      <w:color w:themeColor="text2" w:themeShade="bf" w:val="17365D"/>
      <w:spacing w:val="5"/>
      <w:kern w:val="2"/>
      <w:sz w:val="52"/>
      <w:szCs w:val="52"/>
      <w:lang w:eastAsia="pt-BR"/>
    </w:rPr>
  </w:style>
  <w:style w:type="paragraph" w:styleId="PADRO" w:customStyle="1">
    <w:name w:val="PADRÃO"/>
    <w:qFormat/>
    <w:rsid w:val="004276b3"/>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eastAsia="zh-CN" w:bidi="hi-IN" w:val="pt-BR"/>
    </w:rPr>
  </w:style>
  <w:style w:type="paragraph" w:styleId="Citao1" w:customStyle="1">
    <w:name w:val="Citação1"/>
    <w:basedOn w:val="Normal"/>
    <w:next w:val="Normal"/>
    <w:link w:val="QuoteChar"/>
    <w:qFormat/>
    <w:rsid w:val="004276b3"/>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pPr>
    <w:rPr>
      <w:rFonts w:ascii="Ecofont_Spranq_eco_Sans" w:hAnsi="Ecofont_Spranq_eco_Sans" w:cs="Tahoma"/>
      <w:i/>
      <w:iCs/>
      <w:color w:val="000000"/>
    </w:rPr>
  </w:style>
  <w:style w:type="paragraph" w:styleId="Paragraph" w:customStyle="1">
    <w:name w:val="paragraph"/>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Nivel1" w:customStyle="1">
    <w:name w:val="Nivel1"/>
    <w:basedOn w:val="Heading1"/>
    <w:link w:val="Nivel1Char"/>
    <w:qFormat/>
    <w:rsid w:val="004276b3"/>
    <w:pPr>
      <w:spacing w:lineRule="auto" w:line="276"/>
      <w:ind w:hanging="357" w:left="357"/>
      <w:jc w:val="both"/>
    </w:pPr>
    <w:rPr>
      <w:rFonts w:ascii="Arial" w:hAnsi="Arial" w:cs="Arial"/>
      <w:bCs w:val="false"/>
      <w:color w:themeColor="accent1" w:themeShade="bf" w:val="000000"/>
    </w:rPr>
  </w:style>
  <w:style w:type="paragraph" w:styleId="PargrafodaLista1" w:customStyle="1">
    <w:name w:val="Parágrafo da Lista1"/>
    <w:basedOn w:val="Normal"/>
    <w:qFormat/>
    <w:rsid w:val="004276b3"/>
    <w:pPr>
      <w:spacing w:lineRule="auto" w:line="240"/>
      <w:ind w:left="720"/>
      <w:jc w:val="left"/>
    </w:pPr>
    <w:rPr>
      <w:rFonts w:ascii="Ecofont_Spranq_eco_Sans" w:hAnsi="Ecofont_Spranq_eco_Sans" w:eastAsia="Times New Roman" w:cs="Ecofont_Spranq_eco_Sans"/>
      <w:sz w:val="24"/>
      <w:szCs w:val="24"/>
      <w:lang w:eastAsia="pt-BR"/>
    </w:rPr>
  </w:style>
  <w:style w:type="paragraph" w:styleId="Nivel2" w:customStyle="1">
    <w:name w:val="Nivel 2"/>
    <w:basedOn w:val="Normal"/>
    <w:link w:val="Nivel2Char"/>
    <w:qFormat/>
    <w:rsid w:val="004276b3"/>
    <w:pPr>
      <w:numPr>
        <w:ilvl w:val="1"/>
        <w:numId w:val="1"/>
      </w:numPr>
      <w:spacing w:lineRule="auto" w:line="276" w:before="120" w:after="120"/>
      <w:ind w:hanging="0" w:left="0"/>
    </w:pPr>
    <w:rPr>
      <w:rFonts w:ascii="Arial" w:hAnsi="Arial" w:eastAsia="" w:cs="Arial" w:eastAsiaTheme="minorEastAsia"/>
      <w:color w:val="000000"/>
      <w:sz w:val="20"/>
      <w:szCs w:val="20"/>
      <w:lang w:eastAsia="pt-BR"/>
    </w:rPr>
  </w:style>
  <w:style w:type="paragraph" w:styleId="Nivel11" w:customStyle="1">
    <w:name w:val="Nivel 1"/>
    <w:basedOn w:val="Nivel2"/>
    <w:next w:val="Nivel2"/>
    <w:qFormat/>
    <w:rsid w:val="004276b3"/>
    <w:pPr>
      <w:numPr>
        <w:ilvl w:val="0"/>
        <w:numId w:val="0"/>
      </w:numPr>
      <w:ind w:hanging="360" w:left="360"/>
    </w:pPr>
    <w:rPr>
      <w:b/>
    </w:rPr>
  </w:style>
  <w:style w:type="paragraph" w:styleId="Nivel3" w:customStyle="1">
    <w:name w:val="Nivel 3"/>
    <w:basedOn w:val="Normal"/>
    <w:link w:val="Nivel3Char"/>
    <w:qFormat/>
    <w:rsid w:val="004276b3"/>
    <w:pPr>
      <w:numPr>
        <w:ilvl w:val="2"/>
        <w:numId w:val="1"/>
      </w:numPr>
      <w:spacing w:lineRule="auto" w:line="276" w:before="120" w:after="120"/>
      <w:ind w:hanging="0" w:left="284"/>
    </w:pPr>
    <w:rPr>
      <w:rFonts w:ascii="Arial" w:hAnsi="Arial" w:eastAsia="" w:cs="Arial" w:eastAsiaTheme="minorEastAsia"/>
      <w:color w:val="000000"/>
      <w:sz w:val="20"/>
      <w:szCs w:val="20"/>
      <w:lang w:eastAsia="pt-BR"/>
    </w:rPr>
  </w:style>
  <w:style w:type="paragraph" w:styleId="Nivel4" w:customStyle="1">
    <w:name w:val="Nivel 4"/>
    <w:basedOn w:val="Nivel3"/>
    <w:link w:val="Nivel4Char"/>
    <w:qFormat/>
    <w:rsid w:val="004276b3"/>
    <w:pPr>
      <w:ind w:hanging="0" w:left="567"/>
    </w:pPr>
    <w:rPr>
      <w:color w:val="auto"/>
    </w:rPr>
  </w:style>
  <w:style w:type="paragraph" w:styleId="Nivel5" w:customStyle="1">
    <w:name w:val="Nivel 5"/>
    <w:basedOn w:val="Nivel4"/>
    <w:qFormat/>
    <w:rsid w:val="004276b3"/>
    <w:pPr>
      <w:tabs>
        <w:tab w:val="clear" w:pos="708"/>
        <w:tab w:val="left" w:pos="3600" w:leader="none"/>
      </w:tabs>
      <w:ind w:hanging="0" w:left="851"/>
    </w:pPr>
    <w:rPr/>
  </w:style>
  <w:style w:type="paragraph" w:styleId="Textbody" w:customStyle="1">
    <w:name w:val="textbody"/>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Em0020ementa" w:customStyle="1">
    <w:name w:val="em_0020ementa"/>
    <w:basedOn w:val="Normal"/>
    <w:qFormat/>
    <w:rsid w:val="004276b3"/>
    <w:pPr>
      <w:spacing w:lineRule="auto" w:line="240"/>
      <w:ind w:left="4160"/>
    </w:pPr>
    <w:rPr>
      <w:rFonts w:ascii="Times New Roman" w:hAnsi="Times New Roman" w:eastAsia="Times New Roman"/>
      <w:sz w:val="28"/>
      <w:szCs w:val="28"/>
      <w:lang w:eastAsia="pt-BR"/>
    </w:rPr>
  </w:style>
  <w:style w:type="paragraph" w:styleId="Revision">
    <w:name w:val="Revision"/>
    <w:uiPriority w:val="99"/>
    <w:semiHidden/>
    <w:qFormat/>
    <w:rsid w:val="004276b3"/>
    <w:pPr>
      <w:widowControl/>
      <w:bidi w:val="0"/>
      <w:spacing w:lineRule="auto" w:line="240" w:before="0" w:after="0"/>
      <w:jc w:val="left"/>
    </w:pPr>
    <w:rPr>
      <w:rFonts w:ascii="Ecofont_Spranq_eco_Sans" w:hAnsi="Ecofont_Spranq_eco_Sans" w:eastAsia="Times New Roman" w:cs="Tahoma"/>
      <w:color w:val="auto"/>
      <w:kern w:val="0"/>
      <w:sz w:val="24"/>
      <w:szCs w:val="24"/>
      <w:lang w:eastAsia="pt-BR" w:val="pt-BR" w:bidi="ar-SA"/>
    </w:rPr>
  </w:style>
  <w:style w:type="paragraph" w:styleId="Texto1" w:customStyle="1">
    <w:name w:val="texto1"/>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GradeColorida-nfase11" w:customStyle="1">
    <w:name w:val="Grade Colorida - Ênfase 11"/>
    <w:basedOn w:val="Normal"/>
    <w:next w:val="Normal"/>
    <w:link w:val="GradeColorida-nfase1Char"/>
    <w:uiPriority w:val="29"/>
    <w:qFormat/>
    <w:rsid w:val="004276b3"/>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pPr>
    <w:rPr>
      <w:rFonts w:ascii="Arial" w:hAnsi="Arial"/>
      <w:i/>
      <w:iCs/>
      <w:color w:val="000000"/>
      <w:sz w:val="20"/>
      <w:szCs w:val="24"/>
    </w:rPr>
  </w:style>
  <w:style w:type="paragraph" w:styleId="Xwestern" w:customStyle="1">
    <w:name w:val="x_western"/>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TCU-Ac-item9-0" w:customStyle="1">
    <w:name w:val="TCU - Ac - item 9 - §§_0"/>
    <w:basedOn w:val="Normal"/>
    <w:qFormat/>
    <w:rsid w:val="004276b3"/>
    <w:pPr>
      <w:spacing w:lineRule="auto" w:line="240"/>
      <w:ind w:firstLine="1134"/>
    </w:pPr>
    <w:rPr>
      <w:rFonts w:ascii="Times New Roman" w:hAnsi="Times New Roman" w:eastAsia="Times New Roman"/>
      <w:sz w:val="24"/>
    </w:rPr>
  </w:style>
  <w:style w:type="paragraph" w:styleId="Normal1" w:customStyle="1">
    <w:name w:val="Normal_1"/>
    <w:qFormat/>
    <w:rsid w:val="004276b3"/>
    <w:pPr>
      <w:widowControl/>
      <w:bidi w:val="0"/>
      <w:spacing w:lineRule="auto" w:line="240"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Textojustificadorecuoprimeiralinha" w:customStyle="1">
    <w:name w:val="texto_justificado_recuo_primeira_linha"/>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Textojustificado" w:customStyle="1">
    <w:name w:val="texto_justificado"/>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Nvel2Opcional" w:customStyle="1">
    <w:name w:val="Nível 2 Opcional"/>
    <w:basedOn w:val="Nivel2"/>
    <w:link w:val="Nvel2OpcionalChar"/>
    <w:qFormat/>
    <w:rsid w:val="004276b3"/>
    <w:pPr>
      <w:numPr>
        <w:ilvl w:val="0"/>
        <w:numId w:val="0"/>
      </w:numPr>
      <w:ind w:hanging="432" w:left="432"/>
    </w:pPr>
    <w:rPr>
      <w:rFonts w:eastAsia="Times New Roman"/>
      <w:i/>
      <w:color w:val="FF0000"/>
    </w:rPr>
  </w:style>
  <w:style w:type="paragraph" w:styleId="Nvel3Opcional" w:customStyle="1">
    <w:name w:val="Nível 3 Opcional"/>
    <w:basedOn w:val="Nivel3"/>
    <w:link w:val="Nvel3OpcionalChar"/>
    <w:qFormat/>
    <w:rsid w:val="004276b3"/>
    <w:pPr>
      <w:numPr>
        <w:ilvl w:val="0"/>
        <w:numId w:val="0"/>
      </w:numPr>
      <w:ind w:hanging="504" w:left="1072"/>
    </w:pPr>
    <w:rPr>
      <w:rFonts w:eastAsia="Times New Roman"/>
      <w:i/>
      <w:iCs/>
      <w:color w:val="FF0000"/>
    </w:rPr>
  </w:style>
  <w:style w:type="paragraph" w:styleId="SombreamentoMdio1-nfase31" w:customStyle="1">
    <w:name w:val="Sombreamento Médio 1 - Ênfase 31"/>
    <w:basedOn w:val="Normal"/>
    <w:next w:val="Normal"/>
    <w:qFormat/>
    <w:rsid w:val="004276b3"/>
    <w:pPr>
      <w:pBdr>
        <w:top w:val="single" w:sz="4" w:space="1" w:color="000080"/>
        <w:left w:val="single" w:sz="4" w:space="4" w:color="000080"/>
        <w:bottom w:val="single" w:sz="4" w:space="1" w:color="000080"/>
        <w:right w:val="single" w:sz="4" w:space="4" w:color="000080"/>
      </w:pBdr>
      <w:shd w:val="clear" w:color="auto" w:fill="FFFFCC"/>
      <w:suppressAutoHyphens w:val="true"/>
      <w:spacing w:lineRule="auto" w:line="240" w:before="120" w:after="0"/>
    </w:pPr>
    <w:rPr>
      <w:rFonts w:ascii="Ecofont_Spranq_eco_Sans" w:hAnsi="Ecofont_Spranq_eco_Sans" w:cs="Tahoma"/>
      <w:i/>
      <w:iCs/>
      <w:color w:val="000000"/>
      <w:sz w:val="20"/>
      <w:szCs w:val="24"/>
      <w:lang w:eastAsia="zh-CN"/>
    </w:rPr>
  </w:style>
  <w:style w:type="paragraph" w:styleId="Corpo" w:customStyle="1">
    <w:name w:val="corpo"/>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Itemnivel2" w:customStyle="1">
    <w:name w:val="item_nivel2"/>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Itemnivel1" w:customStyle="1">
    <w:name w:val="item_nivel1"/>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Itemalinealetra" w:customStyle="1">
    <w:name w:val="item_alinea_letra"/>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Standard" w:customStyle="1">
    <w:name w:val="Standard"/>
    <w:qFormat/>
    <w:rsid w:val="004276b3"/>
    <w:pPr>
      <w:widowControl/>
      <w:suppressAutoHyphens w:val="true"/>
      <w:bidi w:val="0"/>
      <w:spacing w:lineRule="auto" w:line="240" w:before="0" w:after="0"/>
      <w:jc w:val="left"/>
    </w:pPr>
    <w:rPr>
      <w:rFonts w:ascii="Liberation Serif" w:hAnsi="Liberation Serif" w:eastAsia="NSimSun" w:cs="Lucida Sans"/>
      <w:color w:val="auto"/>
      <w:kern w:val="2"/>
      <w:sz w:val="24"/>
      <w:szCs w:val="24"/>
      <w:lang w:eastAsia="zh-CN" w:bidi="hi-IN" w:val="pt-BR"/>
    </w:rPr>
  </w:style>
  <w:style w:type="paragraph" w:styleId="Textbody1" w:customStyle="1">
    <w:name w:val="Text body"/>
    <w:basedOn w:val="Standard"/>
    <w:qFormat/>
    <w:rsid w:val="004276b3"/>
    <w:pPr>
      <w:spacing w:lineRule="auto" w:line="276" w:before="0" w:after="140"/>
    </w:pPr>
    <w:rPr/>
  </w:style>
  <w:style w:type="paragraph" w:styleId="Ou" w:customStyle="1">
    <w:name w:val="ou"/>
    <w:basedOn w:val="ListParagraph"/>
    <w:link w:val="OuChar"/>
    <w:qFormat/>
    <w:rsid w:val="004276b3"/>
    <w:pPr>
      <w:spacing w:lineRule="auto" w:line="259" w:before="60" w:after="60"/>
      <w:ind w:left="0"/>
      <w:jc w:val="center"/>
    </w:pPr>
    <w:rPr>
      <w:rFonts w:ascii="Arial" w:hAnsi="Arial" w:cs="Arial"/>
      <w:b/>
      <w:bCs/>
      <w:i/>
      <w:iCs/>
      <w:color w:val="FF0000"/>
      <w:sz w:val="24"/>
      <w:szCs w:val="24"/>
      <w:u w:val="single"/>
    </w:rPr>
  </w:style>
  <w:style w:type="paragraph" w:styleId="Dou-paragraph" w:customStyle="1">
    <w:name w:val="dou-paragraph"/>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Nvel2-Red" w:customStyle="1">
    <w:name w:val="Nível 2 -Red"/>
    <w:basedOn w:val="Nivel2"/>
    <w:link w:val="Nvel2-RedChar"/>
    <w:qFormat/>
    <w:rsid w:val="004276b3"/>
    <w:pPr/>
    <w:rPr>
      <w:i/>
      <w:iCs/>
      <w:color w:val="FF0000"/>
    </w:rPr>
  </w:style>
  <w:style w:type="paragraph" w:styleId="Nvel3-R" w:customStyle="1">
    <w:name w:val="Nível 3-R"/>
    <w:basedOn w:val="Nivel3"/>
    <w:link w:val="Nvel3-RChar"/>
    <w:qFormat/>
    <w:rsid w:val="004276b3"/>
    <w:pPr/>
    <w:rPr>
      <w:i/>
      <w:iCs/>
      <w:color w:val="FF0000"/>
    </w:rPr>
  </w:style>
  <w:style w:type="paragraph" w:styleId="Nvel4-R" w:customStyle="1">
    <w:name w:val="Nível 4-R"/>
    <w:basedOn w:val="Nivel4"/>
    <w:link w:val="Nvel4-RChar"/>
    <w:qFormat/>
    <w:rsid w:val="004276b3"/>
    <w:pPr/>
    <w:rPr>
      <w:i/>
      <w:iCs/>
      <w:color w:val="FF0000"/>
    </w:rPr>
  </w:style>
  <w:style w:type="paragraph" w:styleId="Nvel1-SemNum" w:customStyle="1">
    <w:name w:val="Nível 1-Sem Num"/>
    <w:basedOn w:val="Nivel01"/>
    <w:link w:val="Nvel1-SemNumChar"/>
    <w:qFormat/>
    <w:rsid w:val="004276b3"/>
    <w:pPr>
      <w:numPr>
        <w:ilvl w:val="0"/>
        <w:numId w:val="0"/>
      </w:numPr>
      <w:ind w:hanging="0" w:left="0"/>
      <w:outlineLvl w:val="1"/>
    </w:pPr>
    <w:rPr>
      <w:color w:themeColor="text2" w:themeShade="bf" w:val="FF0000"/>
    </w:rPr>
  </w:style>
  <w:style w:type="paragraph" w:styleId="Citao2" w:customStyle="1">
    <w:name w:val="citação 2"/>
    <w:basedOn w:val="Quote"/>
    <w:link w:val="Citao2Char"/>
    <w:qFormat/>
    <w:rsid w:val="004276b3"/>
    <w:pPr>
      <w:overflowPunct w:val="true"/>
    </w:pPr>
    <w:rPr>
      <w:szCs w:val="20"/>
    </w:rPr>
  </w:style>
  <w:style w:type="paragraph" w:styleId="Prembulo" w:customStyle="1">
    <w:name w:val="Preâmbulo"/>
    <w:basedOn w:val="Normal"/>
    <w:link w:val="PrembuloChar"/>
    <w:qFormat/>
    <w:rsid w:val="004276b3"/>
    <w:pPr>
      <w:spacing w:lineRule="auto" w:line="360" w:before="480" w:after="120"/>
      <w:ind w:left="4253" w:right="-17"/>
    </w:pPr>
    <w:rPr>
      <w:rFonts w:ascii="Arial" w:hAnsi="Arial" w:eastAsia="Arial" w:cs="Arial"/>
      <w:bCs/>
      <w:sz w:val="20"/>
      <w:szCs w:val="20"/>
      <w:lang w:eastAsia="pt-BR"/>
    </w:rPr>
  </w:style>
  <w:style w:type="paragraph" w:styleId="IndexHeading">
    <w:name w:val="Index Heading"/>
    <w:basedOn w:val="Ttulo"/>
    <w:pPr/>
    <w:rPr/>
  </w:style>
  <w:style w:type="paragraph" w:styleId="TOCHeading">
    <w:name w:val="TOC Heading"/>
    <w:basedOn w:val="Heading1"/>
    <w:next w:val="Normal"/>
    <w:uiPriority w:val="39"/>
    <w:unhideWhenUsed/>
    <w:qFormat/>
    <w:rsid w:val="004276b3"/>
    <w:pPr>
      <w:spacing w:lineRule="auto" w:line="259" w:before="240" w:after="0"/>
      <w:outlineLvl w:val="9"/>
    </w:pPr>
    <w:rPr>
      <w:b w:val="false"/>
      <w:bCs w:val="false"/>
      <w:sz w:val="32"/>
      <w:szCs w:val="32"/>
    </w:rPr>
  </w:style>
  <w:style w:type="paragraph" w:styleId="TOC1">
    <w:name w:val="TOC 1"/>
    <w:basedOn w:val="Normal"/>
    <w:next w:val="Normal"/>
    <w:autoRedefine/>
    <w:uiPriority w:val="39"/>
    <w:unhideWhenUsed/>
    <w:rsid w:val="004276b3"/>
    <w:pPr>
      <w:tabs>
        <w:tab w:val="clear" w:pos="708"/>
        <w:tab w:val="left" w:pos="426" w:leader="none"/>
        <w:tab w:val="right" w:pos="9628" w:leader="dot"/>
      </w:tabs>
      <w:spacing w:lineRule="auto" w:line="240" w:before="0" w:after="100"/>
      <w:jc w:val="left"/>
    </w:pPr>
    <w:rPr>
      <w:rFonts w:ascii="Arial" w:hAnsi="Arial" w:eastAsia="Times New Roman" w:cs="Tahoma"/>
      <w:sz w:val="20"/>
      <w:szCs w:val="24"/>
      <w:lang w:eastAsia="pt-BR"/>
    </w:rPr>
  </w:style>
  <w:style w:type="paragraph" w:styleId="NoSpacing">
    <w:name w:val="No Spacing"/>
    <w:uiPriority w:val="1"/>
    <w:qFormat/>
    <w:rsid w:val="00084bc4"/>
    <w:pPr>
      <w:widowControl/>
      <w:suppressAutoHyphens w:val="true"/>
      <w:bidi w:val="0"/>
      <w:spacing w:lineRule="auto" w:line="240" w:before="0" w:after="0"/>
      <w:jc w:val="left"/>
    </w:pPr>
    <w:rPr>
      <w:rFonts w:eastAsia="" w:eastAsiaTheme="minorEastAsia" w:ascii="Calibri" w:hAnsi="Calibri" w:cs=""/>
      <w:color w:val="auto"/>
      <w:kern w:val="0"/>
      <w:sz w:val="22"/>
      <w:szCs w:val="22"/>
      <w:lang w:eastAsia="pt-BR" w:val="pt-BR" w:bidi="ar-SA"/>
    </w:rPr>
  </w:style>
  <w:style w:type="paragraph" w:styleId="TableParagraph" w:customStyle="1">
    <w:name w:val="Table Paragraph"/>
    <w:basedOn w:val="Normal"/>
    <w:uiPriority w:val="1"/>
    <w:qFormat/>
    <w:rsid w:val="00ad5d32"/>
    <w:pPr>
      <w:widowControl w:val="false"/>
      <w:spacing w:lineRule="auto" w:line="240"/>
      <w:jc w:val="left"/>
    </w:pPr>
    <w:rPr>
      <w:rFonts w:cs="Calibri"/>
      <w:lang w:val="pt-PT"/>
    </w:rPr>
  </w:style>
  <w:style w:type="paragraph" w:styleId="Contedodoquadro">
    <w:name w:val="Conteúdo do quadro"/>
    <w:basedOn w:val="Normal"/>
    <w:qFormat/>
    <w:pPr/>
    <w:rPr/>
  </w:style>
  <w:style w:type="numbering" w:styleId="NoList" w:default="1">
    <w:name w:val="No List"/>
    <w:uiPriority w:val="99"/>
    <w:semiHidden/>
    <w:unhideWhenUsed/>
    <w:qFormat/>
  </w:style>
  <w:style w:type="numbering" w:styleId="Estilo1" w:customStyle="1">
    <w:name w:val="Estilo1"/>
    <w:uiPriority w:val="99"/>
    <w:qFormat/>
    <w:rsid w:val="004276b3"/>
  </w:style>
  <w:style w:type="numbering" w:styleId="Estilo2" w:customStyle="1">
    <w:name w:val="Estilo2"/>
    <w:uiPriority w:val="99"/>
    <w:qFormat/>
    <w:rsid w:val="004276b3"/>
  </w:style>
  <w:style w:type="numbering" w:styleId="Estilo3" w:customStyle="1">
    <w:name w:val="Estilo3"/>
    <w:uiPriority w:val="99"/>
    <w:qFormat/>
    <w:rsid w:val="004276b3"/>
  </w:style>
  <w:style w:type="numbering" w:styleId="Estilo4" w:customStyle="1">
    <w:name w:val="Estilo4"/>
    <w:uiPriority w:val="99"/>
    <w:qFormat/>
    <w:rsid w:val="004276b3"/>
  </w:style>
  <w:style w:type="numbering" w:styleId="Estilo5" w:customStyle="1">
    <w:name w:val="Estilo5"/>
    <w:uiPriority w:val="99"/>
    <w:qFormat/>
    <w:rsid w:val="004276b3"/>
  </w:style>
  <w:style w:type="numbering" w:styleId="Estilo6" w:customStyle="1">
    <w:name w:val="Estilo6"/>
    <w:uiPriority w:val="99"/>
    <w:qFormat/>
    <w:rsid w:val="004276b3"/>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b505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ad5d32"/>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lanalto.gov.br/ccivil_03/leis/lcp/lcp123.htm" TargetMode="External"/><Relationship Id="rId3" Type="http://schemas.openxmlformats.org/officeDocument/2006/relationships/hyperlink" Target="https://www.gov.br/empresas-e-negocios/pt-br/empreendedor" TargetMode="External"/><Relationship Id="rId4" Type="http://schemas.openxmlformats.org/officeDocument/2006/relationships/hyperlink" Target="https://www.gov.br/economia/pt-br/assuntos/drei/legislacao/arquivos/legislacoes-federais/indrei772020.pdf" TargetMode="External"/><Relationship Id="rId5" Type="http://schemas.openxmlformats.org/officeDocument/2006/relationships/hyperlink" Target="https://www.gov.br/trabalho-e-previdencia/pt-br/servicos/empregador/programa-de-alimentacao-do-trabalhador-pat/arquivos-legislacao/instrucoes-normativas/pat_in_971_2009.pdf"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74C8-B11B-461F-A4FA-010FB96D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LibreOffice/24.2.0.3$Windows_X86_64 LibreOffice_project/da48488a73ddd66ea24cf16bbc4f7b9c08e9bea1</Application>
  <AppVersion>15.0000</AppVersion>
  <Pages>15</Pages>
  <Words>4476</Words>
  <Characters>25862</Characters>
  <CharactersWithSpaces>30141</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2024-03-13T19:54:00Z</dcterms:created>
  <dc:creator>user</dc:creator>
  <dc:description/>
  <dc:language>pt-BR</dc:language>
  <cp:lastModifiedBy/>
  <cp:lastPrinted>2023-02-08T18:32:00Z</cp:lastPrinted>
  <dcterms:modified xsi:type="dcterms:W3CDTF">2024-04-11T14:35:25Z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